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F17" w:rsidRDefault="00D73F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73F17" w:rsidRDefault="00D73F17">
      <w:pPr>
        <w:rPr>
          <w:rFonts w:ascii="Times New Roman" w:hAnsi="Times New Roman" w:cs="Times New Roman"/>
          <w:b/>
          <w:sz w:val="28"/>
          <w:szCs w:val="28"/>
        </w:rPr>
      </w:pPr>
    </w:p>
    <w:p w:rsidR="009C116C" w:rsidRDefault="00D73F17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r w:rsidRPr="00D73F17">
        <w:rPr>
          <w:rFonts w:ascii="Times New Roman" w:hAnsi="Times New Roman" w:cs="Times New Roman"/>
          <w:sz w:val="28"/>
          <w:szCs w:val="28"/>
        </w:rPr>
        <w:fldChar w:fldCharType="begin"/>
      </w:r>
      <w:r w:rsidRPr="00D73F17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D73F17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501540422" w:history="1">
        <w:r w:rsidR="009C116C" w:rsidRPr="007D3932">
          <w:rPr>
            <w:rStyle w:val="ad"/>
            <w:rFonts w:ascii="Times New Roman" w:hAnsi="Times New Roman" w:cs="Times New Roman"/>
            <w:b/>
            <w:noProof/>
          </w:rPr>
          <w:t>1.Введ</w:t>
        </w:r>
        <w:r w:rsidR="009C116C" w:rsidRPr="007D3932">
          <w:rPr>
            <w:rStyle w:val="ad"/>
            <w:rFonts w:ascii="Times New Roman" w:hAnsi="Times New Roman" w:cs="Times New Roman"/>
            <w:b/>
            <w:noProof/>
          </w:rPr>
          <w:t>е</w:t>
        </w:r>
        <w:r w:rsidR="009C116C" w:rsidRPr="007D3932">
          <w:rPr>
            <w:rStyle w:val="ad"/>
            <w:rFonts w:ascii="Times New Roman" w:hAnsi="Times New Roman" w:cs="Times New Roman"/>
            <w:b/>
            <w:noProof/>
          </w:rPr>
          <w:t>ние</w:t>
        </w:r>
        <w:r w:rsidR="009C116C">
          <w:rPr>
            <w:noProof/>
            <w:webHidden/>
          </w:rPr>
          <w:tab/>
        </w:r>
        <w:r w:rsidR="009C116C">
          <w:rPr>
            <w:noProof/>
            <w:webHidden/>
          </w:rPr>
          <w:fldChar w:fldCharType="begin"/>
        </w:r>
        <w:r w:rsidR="009C116C">
          <w:rPr>
            <w:noProof/>
            <w:webHidden/>
          </w:rPr>
          <w:instrText xml:space="preserve"> PAGEREF _Toc501540422 \h </w:instrText>
        </w:r>
        <w:r w:rsidR="009C116C">
          <w:rPr>
            <w:noProof/>
            <w:webHidden/>
          </w:rPr>
        </w:r>
        <w:r w:rsidR="009C116C">
          <w:rPr>
            <w:noProof/>
            <w:webHidden/>
          </w:rPr>
          <w:fldChar w:fldCharType="separate"/>
        </w:r>
        <w:r w:rsidR="009C116C">
          <w:rPr>
            <w:noProof/>
            <w:webHidden/>
          </w:rPr>
          <w:t>3</w:t>
        </w:r>
        <w:r w:rsidR="009C116C">
          <w:rPr>
            <w:noProof/>
            <w:webHidden/>
          </w:rPr>
          <w:fldChar w:fldCharType="end"/>
        </w:r>
      </w:hyperlink>
    </w:p>
    <w:p w:rsidR="009C116C" w:rsidRDefault="009C116C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hyperlink w:anchor="_Toc501540423" w:history="1">
        <w:r w:rsidRPr="007D3932">
          <w:rPr>
            <w:rStyle w:val="ad"/>
            <w:rFonts w:ascii="Times New Roman" w:hAnsi="Times New Roman" w:cs="Times New Roman"/>
            <w:b/>
            <w:noProof/>
          </w:rPr>
          <w:t>2. Описание и хар</w:t>
        </w:r>
        <w:r w:rsidRPr="007D3932">
          <w:rPr>
            <w:rStyle w:val="ad"/>
            <w:rFonts w:ascii="Times New Roman" w:hAnsi="Times New Roman" w:cs="Times New Roman"/>
            <w:b/>
            <w:noProof/>
          </w:rPr>
          <w:t>а</w:t>
        </w:r>
        <w:r w:rsidRPr="007D3932">
          <w:rPr>
            <w:rStyle w:val="ad"/>
            <w:rFonts w:ascii="Times New Roman" w:hAnsi="Times New Roman" w:cs="Times New Roman"/>
            <w:b/>
            <w:noProof/>
          </w:rPr>
          <w:t>ктеристика объекта недвижимого имущества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_Toc501540423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C116C" w:rsidRDefault="009C116C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hyperlink w:anchor="_Toc501540424" w:history="1">
        <w:r w:rsidRPr="007D3932">
          <w:rPr>
            <w:rStyle w:val="ad"/>
            <w:rFonts w:ascii="Times New Roman" w:hAnsi="Times New Roman" w:cs="Times New Roman"/>
            <w:b/>
            <w:noProof/>
          </w:rPr>
          <w:t>3. Цель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_Toc501540424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C116C" w:rsidRDefault="009C116C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hyperlink w:anchor="_Toc501540425" w:history="1">
        <w:r w:rsidRPr="007D3932">
          <w:rPr>
            <w:rStyle w:val="ad"/>
            <w:rFonts w:ascii="Times New Roman" w:hAnsi="Times New Roman" w:cs="Times New Roman"/>
            <w:b/>
            <w:noProof/>
          </w:rPr>
          <w:t>4. Описание стратегии управления объектом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_Toc501540425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C116C" w:rsidRDefault="009C116C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hyperlink w:anchor="_Toc501540426" w:history="1">
        <w:r w:rsidRPr="007D3932">
          <w:rPr>
            <w:rStyle w:val="ad"/>
            <w:rFonts w:ascii="Times New Roman" w:hAnsi="Times New Roman" w:cs="Times New Roman"/>
            <w:b/>
            <w:noProof/>
          </w:rPr>
          <w:t>5. Анализ наилучшего и наиболее эффективного использования объекта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_Toc501540426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C116C" w:rsidRDefault="009C116C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hyperlink w:anchor="_Toc501540427" w:history="1">
        <w:r w:rsidRPr="007D3932">
          <w:rPr>
            <w:rStyle w:val="ad"/>
            <w:rFonts w:ascii="Times New Roman" w:hAnsi="Times New Roman" w:cs="Times New Roman"/>
            <w:b/>
            <w:noProof/>
          </w:rPr>
          <w:t>6. Перечень основных мероприятий, необходимых для управления объектом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_Toc501540427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C116C" w:rsidRDefault="009C116C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hyperlink w:anchor="_Toc501540428" w:history="1">
        <w:r w:rsidRPr="007D3932">
          <w:rPr>
            <w:rStyle w:val="ad"/>
            <w:rFonts w:ascii="Times New Roman" w:hAnsi="Times New Roman" w:cs="Times New Roman"/>
            <w:b/>
            <w:noProof/>
          </w:rPr>
          <w:t>7. Бюджет программы по управлению объектом недвижимости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_Toc501540428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C116C" w:rsidRDefault="009C116C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hyperlink w:anchor="_Toc501540438" w:history="1">
        <w:r w:rsidRPr="007D3932">
          <w:rPr>
            <w:rStyle w:val="ad"/>
            <w:rFonts w:ascii="Times New Roman" w:hAnsi="Times New Roman" w:cs="Times New Roman"/>
            <w:b/>
            <w:noProof/>
          </w:rPr>
          <w:t>8. Анализ эффективности программы по управлению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_Toc501540438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C116C" w:rsidRDefault="009C116C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hyperlink w:anchor="_Toc501540439" w:history="1">
        <w:r w:rsidRPr="007D3932">
          <w:rPr>
            <w:rStyle w:val="ad"/>
            <w:rFonts w:ascii="Times New Roman" w:hAnsi="Times New Roman" w:cs="Times New Roman"/>
            <w:b/>
            <w:noProof/>
          </w:rPr>
          <w:t>9. Заключение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_Toc501540439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C116C" w:rsidRDefault="009C116C">
      <w:pPr>
        <w:pStyle w:val="11"/>
        <w:tabs>
          <w:tab w:val="right" w:leader="dot" w:pos="9348"/>
        </w:tabs>
        <w:rPr>
          <w:rFonts w:eastAsiaTheme="minorEastAsia"/>
          <w:noProof/>
          <w:lang w:eastAsia="ru-RU"/>
        </w:rPr>
      </w:pPr>
      <w:hyperlink w:anchor="_Toc501540440" w:history="1">
        <w:r w:rsidRPr="007D3932">
          <w:rPr>
            <w:rStyle w:val="ad"/>
            <w:rFonts w:ascii="Times New Roman" w:hAnsi="Times New Roman" w:cs="Times New Roman"/>
            <w:b/>
            <w:noProof/>
          </w:rPr>
          <w:t>Литература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_Toc501540440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73F17" w:rsidRPr="00D73F17" w:rsidRDefault="00D73F17">
      <w:pPr>
        <w:rPr>
          <w:rFonts w:ascii="Times New Roman" w:eastAsiaTheme="majorEastAsia" w:hAnsi="Times New Roman" w:cs="Times New Roman"/>
          <w:sz w:val="28"/>
          <w:szCs w:val="28"/>
        </w:rPr>
      </w:pPr>
      <w:r w:rsidRPr="00D73F17">
        <w:rPr>
          <w:rFonts w:ascii="Times New Roman" w:hAnsi="Times New Roman" w:cs="Times New Roman"/>
          <w:sz w:val="28"/>
          <w:szCs w:val="28"/>
        </w:rPr>
        <w:fldChar w:fldCharType="end"/>
      </w:r>
      <w:r w:rsidRPr="00D73F17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DE05BB" w:rsidRPr="00CE60D6" w:rsidRDefault="000B697A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501540422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</w:t>
      </w:r>
      <w:r w:rsidR="00DE05BB" w:rsidRPr="00CE60D6">
        <w:rPr>
          <w:rFonts w:ascii="Times New Roman" w:hAnsi="Times New Roman" w:cs="Times New Roman"/>
          <w:b/>
          <w:color w:val="auto"/>
          <w:sz w:val="28"/>
          <w:szCs w:val="28"/>
        </w:rPr>
        <w:t>Введение</w:t>
      </w:r>
      <w:bookmarkEnd w:id="1"/>
    </w:p>
    <w:p w:rsidR="00223109" w:rsidRDefault="00223109" w:rsidP="00223109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3109" w:rsidRPr="00223109" w:rsidRDefault="00223109" w:rsidP="00223109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109">
        <w:rPr>
          <w:rFonts w:ascii="Times New Roman" w:hAnsi="Times New Roman" w:cs="Times New Roman"/>
          <w:sz w:val="28"/>
          <w:szCs w:val="28"/>
        </w:rPr>
        <w:t>Объекты недвижимости создаются или приобретаются в собстве</w:t>
      </w:r>
      <w:r w:rsidR="009C116C">
        <w:rPr>
          <w:rFonts w:ascii="Times New Roman" w:hAnsi="Times New Roman" w:cs="Times New Roman"/>
          <w:sz w:val="28"/>
          <w:szCs w:val="28"/>
        </w:rPr>
        <w:t>нность для предпринимательской </w:t>
      </w:r>
      <w:r w:rsidRPr="00223109">
        <w:rPr>
          <w:rFonts w:ascii="Times New Roman" w:hAnsi="Times New Roman" w:cs="Times New Roman"/>
          <w:sz w:val="28"/>
          <w:szCs w:val="28"/>
        </w:rPr>
        <w:t>деятельности или для удовлетворения</w:t>
      </w:r>
      <w:r w:rsidR="009C116C">
        <w:rPr>
          <w:rFonts w:ascii="Times New Roman" w:hAnsi="Times New Roman" w:cs="Times New Roman"/>
          <w:sz w:val="28"/>
          <w:szCs w:val="28"/>
        </w:rPr>
        <w:t xml:space="preserve"> </w:t>
      </w:r>
      <w:r w:rsidRPr="00223109">
        <w:rPr>
          <w:rFonts w:ascii="Times New Roman" w:hAnsi="Times New Roman" w:cs="Times New Roman"/>
          <w:sz w:val="28"/>
          <w:szCs w:val="28"/>
        </w:rPr>
        <w:t>личных или общественных (социальных) потребностей.</w:t>
      </w:r>
    </w:p>
    <w:p w:rsidR="00223109" w:rsidRPr="00223109" w:rsidRDefault="00223109" w:rsidP="00223109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23109">
        <w:rPr>
          <w:rFonts w:ascii="Times New Roman" w:hAnsi="Times New Roman" w:cs="Times New Roman"/>
          <w:iCs/>
          <w:sz w:val="28"/>
          <w:szCs w:val="28"/>
        </w:rPr>
        <w:t>Управление недвижимостью </w:t>
      </w:r>
      <w:r w:rsidR="009C116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223109">
        <w:rPr>
          <w:rFonts w:ascii="Times New Roman" w:hAnsi="Times New Roman" w:cs="Times New Roman"/>
          <w:sz w:val="28"/>
          <w:szCs w:val="28"/>
        </w:rPr>
        <w:t> </w:t>
      </w:r>
      <w:r w:rsidRPr="00223109">
        <w:rPr>
          <w:rFonts w:ascii="Times New Roman" w:hAnsi="Times New Roman" w:cs="Times New Roman"/>
          <w:iCs/>
          <w:sz w:val="28"/>
          <w:szCs w:val="28"/>
        </w:rPr>
        <w:t>осуществление комплекса операций по эксплуатации зданий и сооружений (поддержание их сервиса, руководство обслуживающим персоналом, создание условий для пользователей (арендаторов), определение условий сдачи площадей в аренду, сбор арендной платы и пр.) в целях наиболее эффективного использования недвижимости в интересах собственника.</w:t>
      </w:r>
    </w:p>
    <w:p w:rsidR="00223109" w:rsidRPr="00223109" w:rsidRDefault="00223109" w:rsidP="00223109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>Управление недвижимостью охватывает следующие направления:</w:t>
      </w:r>
    </w:p>
    <w:p w:rsidR="00223109" w:rsidRPr="00223109" w:rsidRDefault="00223109" w:rsidP="00D73F17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>экономическое - управление доходами и затратами, распределение финансовых потоков, позиционирование объекта на рынке</w:t>
      </w:r>
    </w:p>
    <w:p w:rsidR="00223109" w:rsidRPr="00223109" w:rsidRDefault="00223109" w:rsidP="00D73F17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>техническое - содержание и развитие объекта недвижимости в соответствии с его функциональным назначением и установленными требованиями</w:t>
      </w:r>
    </w:p>
    <w:p w:rsidR="00223109" w:rsidRPr="00223109" w:rsidRDefault="00223109" w:rsidP="00D73F17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 xml:space="preserve">правовое - комплексное юридическое сопровождение управления недвижимостью. </w:t>
      </w:r>
    </w:p>
    <w:p w:rsidR="00223109" w:rsidRDefault="00223109" w:rsidP="00223109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109">
        <w:rPr>
          <w:rFonts w:ascii="Times New Roman" w:hAnsi="Times New Roman" w:cs="Times New Roman"/>
          <w:sz w:val="28"/>
          <w:szCs w:val="28"/>
        </w:rPr>
        <w:t>Объектом управления выступает отдельно стоящее двухэтажное здание школы.</w:t>
      </w:r>
    </w:p>
    <w:p w:rsidR="009C116C" w:rsidRDefault="009C116C" w:rsidP="00223109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  <w:bookmarkStart w:id="2" w:name="bookmark0"/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Default="009C116C" w:rsidP="009C116C">
      <w:pPr>
        <w:pStyle w:val="a5"/>
        <w:rPr>
          <w:rStyle w:val="12"/>
          <w:rFonts w:eastAsiaTheme="minorHAnsi"/>
          <w:b w:val="0"/>
          <w:bCs w:val="0"/>
        </w:rPr>
      </w:pP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Style w:val="12"/>
          <w:rFonts w:eastAsiaTheme="minorHAnsi"/>
          <w:b w:val="0"/>
          <w:bCs w:val="0"/>
          <w:u w:val="none"/>
        </w:rPr>
        <w:t>СВЕДЕНИЯ О ЗАКАЗЧИКЕ ОЦЕНКИ И ОБ ОЦЕНЩИКЕ</w:t>
      </w:r>
      <w:bookmarkEnd w:id="2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8"/>
        <w:gridCol w:w="4762"/>
      </w:tblGrid>
      <w:tr w:rsidR="009C116C" w:rsidRPr="009C116C" w:rsidTr="00961D94">
        <w:trPr>
          <w:trHeight w:val="408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a7"/>
                <w:rFonts w:eastAsiaTheme="minorHAnsi"/>
                <w:sz w:val="24"/>
                <w:lang w:eastAsia="en-US"/>
              </w:rPr>
              <w:t>Заказчик</w:t>
            </w:r>
          </w:p>
        </w:tc>
      </w:tr>
      <w:tr w:rsidR="009C116C" w:rsidRPr="009C116C" w:rsidTr="00961D94">
        <w:trPr>
          <w:trHeight w:val="403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Организационно-правовая форма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Открытое акционерное общество</w:t>
            </w:r>
          </w:p>
        </w:tc>
      </w:tr>
      <w:tr w:rsidR="009C116C" w:rsidRPr="009C116C" w:rsidTr="00961D94">
        <w:trPr>
          <w:trHeight w:val="128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Полное наименование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Открытое акционерное общество «Управляющая компания «Арсагера» «Д.У.» Закрытым паевым инвестиционным фондом недвижимости «Арсагера - жилищное строительство»</w:t>
            </w:r>
          </w:p>
        </w:tc>
      </w:tr>
      <w:tr w:rsidR="009C116C" w:rsidRPr="009C116C" w:rsidTr="00961D94">
        <w:trPr>
          <w:trHeight w:val="66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Основной государственный регистрационный номер (ОГРН)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1047855067633</w:t>
            </w:r>
          </w:p>
        </w:tc>
      </w:tr>
      <w:tr w:rsidR="009C116C" w:rsidRPr="009C116C" w:rsidTr="00961D94">
        <w:trPr>
          <w:trHeight w:val="403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Дата присвоения ОГРН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23 августа 2004 года</w:t>
            </w:r>
          </w:p>
        </w:tc>
      </w:tr>
      <w:tr w:rsidR="009C116C" w:rsidRPr="009C116C" w:rsidTr="00961D94">
        <w:trPr>
          <w:trHeight w:val="518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Адрес местонахождения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194021, Санкт-Петербург, ул. Шателена, дом 26А, помещение 1-Н</w:t>
            </w:r>
          </w:p>
        </w:tc>
      </w:tr>
      <w:tr w:rsidR="009C116C" w:rsidRPr="009C116C" w:rsidTr="00961D94">
        <w:trPr>
          <w:trHeight w:val="403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a7"/>
                <w:rFonts w:eastAsiaTheme="minorHAnsi"/>
                <w:sz w:val="24"/>
                <w:lang w:eastAsia="en-US"/>
              </w:rPr>
              <w:t>Оценщик</w:t>
            </w:r>
          </w:p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16C" w:rsidRPr="009C116C" w:rsidTr="00961D94">
        <w:trPr>
          <w:trHeight w:val="403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ФИО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Толмачев Александр Викторович</w:t>
            </w:r>
          </w:p>
        </w:tc>
      </w:tr>
      <w:tr w:rsidR="009C116C" w:rsidRPr="009C116C" w:rsidTr="00961D94">
        <w:trPr>
          <w:trHeight w:val="66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Сведения о трудовом договоре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Трудовой договор с Исполнителем № 2 от 01 января 2005 года</w:t>
            </w:r>
          </w:p>
        </w:tc>
      </w:tr>
      <w:tr w:rsidR="009C116C" w:rsidRPr="009C116C" w:rsidTr="00961D94">
        <w:trPr>
          <w:trHeight w:val="1190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Информация о членстве в саморегулируемой организации оценщиков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Член Ассоциации саморегулируемой организации «Национальная коллегия специалистов-оценщиков»; зарегистрирован за № 00323 17.01.2008 г.</w:t>
            </w:r>
          </w:p>
        </w:tc>
      </w:tr>
      <w:tr w:rsidR="009C116C" w:rsidRPr="009C116C" w:rsidTr="00961D94">
        <w:trPr>
          <w:trHeight w:val="1190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Информация о получении профессиональных знаний в области оценочной деятельности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 xml:space="preserve">Закончил ИПК СПбГИЭУ; диплом </w:t>
            </w:r>
            <w:r w:rsidRPr="009C116C">
              <w:rPr>
                <w:rStyle w:val="a7"/>
                <w:rFonts w:eastAsiaTheme="minorHAnsi"/>
                <w:sz w:val="24"/>
                <w:lang w:eastAsia="en-US"/>
              </w:rPr>
              <w:t xml:space="preserve">1111 </w:t>
            </w: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№ 595725; срок обучения: сентябрь 2003 - июль 2004 года; курс «Оценка стоимости предприятия (бизнеса)»</w:t>
            </w:r>
          </w:p>
        </w:tc>
      </w:tr>
      <w:tr w:rsidR="009C116C" w:rsidRPr="009C116C" w:rsidTr="00961D94">
        <w:trPr>
          <w:trHeight w:val="1714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Информация о страховании гражданской ответственности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Ответственность Толмачева Александра Викторовича застрахована в ОАО «АльфаСтрахование», полис № 7811R/776/00118/5 дата выдачи 28 сентября 2015 года, Страховая сумма 30 000 000 (Тридцать миллионов) рублей.</w:t>
            </w:r>
          </w:p>
        </w:tc>
      </w:tr>
      <w:tr w:rsidR="009C116C" w:rsidRPr="009C116C" w:rsidTr="00961D94">
        <w:trPr>
          <w:trHeight w:val="403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Стаж работы в оценочной деятельности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11 лет</w:t>
            </w:r>
          </w:p>
        </w:tc>
      </w:tr>
      <w:tr w:rsidR="009C116C" w:rsidRPr="009C116C" w:rsidTr="00961D94">
        <w:trPr>
          <w:trHeight w:val="403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a7"/>
                <w:rFonts w:eastAsiaTheme="minorHAnsi"/>
                <w:sz w:val="24"/>
                <w:lang w:eastAsia="en-US"/>
              </w:rPr>
              <w:t>Юридическое лицо, с которым Оценщики заключили трудовой договор</w:t>
            </w:r>
          </w:p>
        </w:tc>
      </w:tr>
      <w:tr w:rsidR="009C116C" w:rsidRPr="009C116C" w:rsidTr="00961D94">
        <w:trPr>
          <w:trHeight w:val="403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Организационно-правовая форма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Общество с ограниченной ответственностью</w:t>
            </w:r>
          </w:p>
        </w:tc>
      </w:tr>
      <w:tr w:rsidR="009C116C" w:rsidRPr="009C116C" w:rsidTr="00961D94">
        <w:trPr>
          <w:trHeight w:val="66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Полное наименование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Общество с ограниченной ответственностью «Эккона-Оценка»</w:t>
            </w:r>
          </w:p>
        </w:tc>
      </w:tr>
      <w:tr w:rsidR="009C116C" w:rsidRPr="009C116C" w:rsidTr="00961D94">
        <w:trPr>
          <w:trHeight w:val="667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Основной государственный регистрационный номер (ОГРН)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1037821050222</w:t>
            </w:r>
          </w:p>
        </w:tc>
      </w:tr>
      <w:tr w:rsidR="009C116C" w:rsidRPr="009C116C" w:rsidTr="00961D94">
        <w:trPr>
          <w:trHeight w:val="403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Дата присвоения ОГРН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10 февраля 2003 года</w:t>
            </w:r>
          </w:p>
        </w:tc>
      </w:tr>
      <w:tr w:rsidR="009C116C" w:rsidRPr="009C116C" w:rsidTr="00961D94">
        <w:trPr>
          <w:trHeight w:val="1277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lastRenderedPageBreak/>
              <w:t>Информация о страховании гражданской ответственности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Ответственность ООО «Эккона-Оценка» застрахована в ОАО «Альфа-Страхование», полис № 7811R/776/00116/5 дата выдачи 28 сентября 2015 года, Страховая сумма 100 000 000 (Сто миллионов) рублей.</w:t>
            </w:r>
          </w:p>
        </w:tc>
      </w:tr>
      <w:tr w:rsidR="009C116C" w:rsidRPr="009C116C" w:rsidTr="00961D94">
        <w:trPr>
          <w:trHeight w:val="658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Адрес местонахождения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16C" w:rsidRPr="009C116C" w:rsidRDefault="009C116C" w:rsidP="009C11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116C">
              <w:rPr>
                <w:rStyle w:val="30"/>
                <w:rFonts w:ascii="Times New Roman" w:eastAsiaTheme="minorHAnsi" w:hAnsi="Times New Roman" w:cs="Times New Roman"/>
                <w:color w:val="auto"/>
              </w:rPr>
              <w:t>195112, Санкт-Петербург, пр. Шаумяна, дом 18, офис 208/1</w:t>
            </w:r>
          </w:p>
        </w:tc>
      </w:tr>
    </w:tbl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1"/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ДОПУЩЕНИЯ И ОГРАНИЧИТЕЛЬНЫЕ УСЛОВИЯ</w:t>
      </w:r>
      <w:bookmarkEnd w:id="3"/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Следующие допущения и ограничительные условия, использованные оценщиком при проведении оценки, являются неотъемлемой частью данного отчета: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Настоящий Отчет достоверен лишь в полном объеме. Приложения являются неотъемлемой частью Отчета.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Отчет содержит профессиональное мнение оценщиков относительно рыночной стоимости Объекта оценки и не является гарантией того, что он будет продан на свободном рынке по цене, равной стоимости, указанной в настоящем Отчете.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Оценка произведена с учетом всех ограничивающих условий и обстоятельств, предположений и допущений, либо установленных техническим заданием на оценку, либо введенных нижеподписавшимися оценщиками.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Заказчик принимает на себя обязательство заранее освободить оценщиков и Исполнителя от всякого рода расходов и материальной ответственности, происходящих из иска третьих лиц к ним, вследствие легального использования настоящего Отчета, кроме случаев, когда окончательным судебным порядком определено, что возникшие убытки и потери явились результатом мошенничества, халатности или умышленно неправомочных действий со стороны оценщиков и/или Исполнителя.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От Исполнителя (его персонала и представителей) не требуется появляться в суде или иным образом свидетельствовать в связи с проведением данной оценки, иначе как по официальному вызову суда.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lastRenderedPageBreak/>
        <w:t>Оценщики не несут ответственности за точность и достоверность информации, полученной от представителей Заказчика и других лиц, упоминаемых в Отчете, в письменной форме или в ходе деловых бесед.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Оценщики не проводили юридической экспертизы полученных документов и исходили из собственного понимания их содержания и влияния такового на оцениваемую стоимость. Они не несут ответственности за точность описания (и сами факты существования) оцениваемых прав, но ссылаются на документы, которые явились основанием для вынесения суждений о составе и качестве прав на оцениваемое имущество.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Оценщики не принимают на себя ответственности за изменение экономических, юридических и иных факторов, которые могут возникнуть после даты проведения оценки и повлиять на рыночную ситуацию, а, следовательно, и на рыночную стоимость Объекта оценки, если таковые не должны были быть предвидены и учтены оценщиками в процессе выполнения работ.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Оценщики оставляют за собой право включать в состав приложений не все использованные документы, а лишь те, которые представляются оценщикам наиболее существенными для понимания содержания Отчета. При этом в архиве Исполнителя будут храниться копии всех существенных материалов, использованных при подготовке Отчета.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Возможные способы использования настоящего Отчета (с учетом возможности содержания в нем информации, которая может расцениваться Заказчиком как конфиденциальная) относятся исключительно к ответственности Заказчика.</w:t>
      </w:r>
    </w:p>
    <w:p w:rsidR="009C116C" w:rsidRPr="009C116C" w:rsidRDefault="009C116C" w:rsidP="009C116C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Итоговый результат в Отчете округлен в соответствии с правилами арифметики и сообразно качеству исходных данных. Промежуточные результаты не округляются в целях избегания «наращения» ошибки итогового результата.</w:t>
      </w:r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2"/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lastRenderedPageBreak/>
        <w:t>ПРИМЕНЯЕМЫЕ СТАНДАРТЫ ОЦЕНОЧНОЙ ДЕЯТЕЛЬНОСТИ</w:t>
      </w:r>
      <w:bookmarkEnd w:id="4"/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Требования к содержанию и оформлению отчета об оценке устанавливаются: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Требования к содержанию и оформлению отчета об оценке устанавливаются: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Федеральным законом от 29 июля 1998 г. № 135-ФЗ «Об оценочной деятельности в Российской Федерации»;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Федеральными стандартами оценки, утвержденными приказами Минэкономразвития России от 20.05.2015 г. № 297, № 297, № 299, являющимися обязательными к применению при осуществлении оценочной деятельности на территории Российской Федерации: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Федеральным стандартом оценки «Общие понятия оценки, подходы и требования к проведению оценки» (ФСО № 1), определяющим общие понятия оценки, подходы к оценке и требования к проведению оценки, применяемые при осуществлении оценочной деятельности;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Федеральным стандартом оценки «Цель оценки и виды стоимости» (ФСО № 2), раскрывающим цель оценки, предполагаемое использование результата оценки, а также определение рыночной (справедливой) стоимости и видов стоимости, отличных от рыночной;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Федеральным стандартом оценки «Требования к отчету об оценке» (ФСО № 3), устанавливающим требования к составлению и содержанию отчета об оценке, информации, используемой в отчете об оценке, а также к описанию в отчете об оценке применяемой методологии и расчётам;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Федеральным стандартом оценки «Оценка недвижимости (ФСО №7)», развивающим, дополняющим и конкретизирующим требования и процедуры, установленные ФСО №1, ФСО №2 и ФСО №3.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 xml:space="preserve">Международным стандартом финансовой отчетности </w:t>
      </w:r>
      <w:r w:rsidRPr="009C116C">
        <w:rPr>
          <w:rFonts w:ascii="Times New Roman" w:hAnsi="Times New Roman" w:cs="Times New Roman"/>
          <w:sz w:val="28"/>
          <w:szCs w:val="28"/>
          <w:lang w:val="en-US" w:bidi="en-US"/>
        </w:rPr>
        <w:t xml:space="preserve">(IFRS) </w:t>
      </w:r>
      <w:r w:rsidRPr="009C116C">
        <w:rPr>
          <w:rFonts w:ascii="Times New Roman" w:hAnsi="Times New Roman" w:cs="Times New Roman"/>
          <w:sz w:val="28"/>
          <w:szCs w:val="28"/>
        </w:rPr>
        <w:t>13, утвержденного Приказом Минфина России от 18.07.2012 № 106н,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lastRenderedPageBreak/>
        <w:t>Стандартом СТО СДС СРО НКСО №1.1-2007, Утвержденным Советом (Правлением) Ассоциации «Саморегулируемая организация «Национальная коллегия специалистов- оценщиков» .</w:t>
      </w:r>
    </w:p>
    <w:p w:rsidR="009C116C" w:rsidRPr="009C116C" w:rsidRDefault="009C116C" w:rsidP="009C116C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Обоснованностью применения данных стандартов, служит тот факт, что Оценщики являются членами Ассоциации «Саморегулируемая организация «Национальная коллегия специалистов-оценщиков».</w:t>
      </w:r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ОПРЕДЕЛЕНИЕ РЫНОЧНОЙ СТОИМОСТИ: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Style w:val="4"/>
          <w:rFonts w:eastAsiaTheme="minorHAnsi"/>
          <w:i w:val="0"/>
          <w:iCs w:val="0"/>
          <w:sz w:val="28"/>
          <w:szCs w:val="28"/>
        </w:rPr>
        <w:t>Рыночная стоимость объекта оценки</w:t>
      </w:r>
      <w:r w:rsidRPr="009C116C">
        <w:rPr>
          <w:rStyle w:val="40"/>
          <w:rFonts w:eastAsiaTheme="minorHAnsi"/>
          <w:sz w:val="28"/>
          <w:szCs w:val="28"/>
        </w:rPr>
        <w:t xml:space="preserve"> - </w:t>
      </w:r>
      <w:r w:rsidRPr="009C116C">
        <w:rPr>
          <w:rFonts w:ascii="Times New Roman" w:hAnsi="Times New Roman" w:cs="Times New Roman"/>
          <w:sz w:val="28"/>
          <w:szCs w:val="28"/>
        </w:rPr>
        <w:t>наиболее вероятная цена, по которой объект оценки может быть отчужден на дату оценки и на открытом рынке в условиях конкуренции, когда стороны сделки действуют разумно, располагая всей необходимой информацией, а на величине цены сделки не отражаются какие-либо чрезвычайные обстоятельства.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Исходя из этого определения, предполагаются следующие условия: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- одна из сторон сделки не обязана отчуждать объект оценки, а другая сторона не обязана принимать исполнение;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стороны сделки хорошо осведомлены о предмете сделки и действуют в своих интересах;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объект оценки выставлен на открытом рынке посредством публичной оферты, типичной для аналогичных объектов оценки;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цена сделки представляет собой разумное вознаграждение за объект оценки и принуждения к совершению сделки в отношении сторон сделки с чьей-либо стороны не было;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платеж за объект оценки выражен в денежной форме.</w:t>
      </w:r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lastRenderedPageBreak/>
        <w:t>ОПРЕДЕЛЕНИЕ ОЦЕНИВАЕМЫХ ПРАВ: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Style w:val="32"/>
          <w:rFonts w:eastAsiaTheme="minorHAnsi"/>
          <w:sz w:val="28"/>
          <w:szCs w:val="28"/>
        </w:rPr>
        <w:t>Содержание права собственности: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Собственнику принадлежат права владения, пользования и распоряжения своим имуществом;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 xml:space="preserve">Собственник вправе по своему усмотрению совершать в отношении принадлежащего ему имущества любые действия, не противоречащие закону и иным правовым актам, не нарушающие права и охраняемые законом интересы других лиц. В том числе, собственник вправе отчуждать свое имущество в собственность другим лицам, передавать им, оставляя за собой право владения, пользования и распоряжения имуществом, а так же отдавать имущество в залог и обременять его другими способами, распоряжаться им иным образом. 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Права, возникающие на объекты недвижимости во вновь создаваемых объектах до момента возникновения и оформления на них права собственности, регламентируются законом Российской Федерации №214-ФЗ от 30.12.2004 г. «Об участии в долевом строительстве многоквартирных домов и иных объектов недвижимости».</w:t>
      </w:r>
    </w:p>
    <w:p w:rsid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3"/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ЭТАПЫ ПРОВЕДЕНИЯ ОЦЕНКИ</w:t>
      </w:r>
      <w:bookmarkEnd w:id="5"/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Проведение оценки включает следующие этапы:</w:t>
      </w:r>
    </w:p>
    <w:p w:rsidR="009C116C" w:rsidRPr="009C116C" w:rsidRDefault="009C116C" w:rsidP="009C116C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Заключение договора на проведение оценки, включающего задание на оценку.</w:t>
      </w:r>
    </w:p>
    <w:p w:rsidR="009C116C" w:rsidRPr="009C116C" w:rsidRDefault="009C116C" w:rsidP="009C116C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Сбор и анализ информации, необходимой для проведения оценки. На этом этапе осуществляется:</w:t>
      </w:r>
    </w:p>
    <w:p w:rsidR="009C116C" w:rsidRPr="009C116C" w:rsidRDefault="009C116C" w:rsidP="009C116C">
      <w:pPr>
        <w:pStyle w:val="a5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Осмотр объекта оценки: на данном этапе Оценщик осматривает объект оценки.</w:t>
      </w:r>
    </w:p>
    <w:p w:rsidR="009C116C" w:rsidRPr="009C116C" w:rsidRDefault="009C116C" w:rsidP="009C116C">
      <w:pPr>
        <w:pStyle w:val="a5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Сбор общих данных и их анализ: на этом этапе были собраны и проанализированы данные, характеризующие экономические, социальные, административные и другие факторы, влияющие на рыночную стоимость объекта.</w:t>
      </w:r>
    </w:p>
    <w:p w:rsidR="009C116C" w:rsidRPr="009C116C" w:rsidRDefault="009C116C" w:rsidP="009C116C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lastRenderedPageBreak/>
        <w:t>Сбор специальных данных и их анализ: на данном этапе была собрана более детальная информация, относящаяся как к оцениваемым объектам, так и к сопоставимым с ними другим объектам, недавно проданным или сданным в аренду. Сбор данных осуществлялся путем изучения соответствующей документации, публикаций в специализированных изданиях, консультации с экспертами по земельным участкам.</w:t>
      </w:r>
    </w:p>
    <w:p w:rsidR="009C116C" w:rsidRPr="009C116C" w:rsidRDefault="009C116C" w:rsidP="009C116C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Применение подходов к оценке объекта, включая выбор методов оценки и осуществление необходимых расчетов. Для оценки рыночной стоимости объекта рассматриваются три классических подхода: затратный, сравнительный и доходный. В случае использования не всех подходов приводится обоснованные доводы об отказе от расчета тем или иным подходом. Использование разных подходов приводит к получению различных величин стоимости одного и того же объекта..</w:t>
      </w:r>
    </w:p>
    <w:p w:rsidR="009C116C" w:rsidRPr="009C116C" w:rsidRDefault="009C116C" w:rsidP="009C116C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Согласование (обобщение) результатов применения подходов к оценке и определение итоговой величины стоимости объекта оценки. На этом этапе после анализа результатов, полученных разными подходами, Оценщики взвешивают достоинства и недостатки каждого, и устанавливает окончательную стоимость объектов на основании результатов всех подходов и выбранных для каждого из них весовых коэффициентов.</w:t>
      </w:r>
    </w:p>
    <w:p w:rsidR="009C116C" w:rsidRPr="009C116C" w:rsidRDefault="009C116C" w:rsidP="009C116C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16C">
        <w:rPr>
          <w:rFonts w:ascii="Times New Roman" w:hAnsi="Times New Roman" w:cs="Times New Roman"/>
          <w:sz w:val="28"/>
          <w:szCs w:val="28"/>
        </w:rPr>
        <w:t>Подготовка Отчета о рассчитанной стоимости. На данном этапе аналитически согласовываются все результаты, полученные на предыдущих этапах, и обобщенно излагаются в виде Отчета.</w:t>
      </w:r>
    </w:p>
    <w:p w:rsidR="009C116C" w:rsidRPr="009C116C" w:rsidRDefault="009C116C" w:rsidP="009C116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97A" w:rsidRPr="00CE60D6" w:rsidRDefault="000B697A" w:rsidP="00CE60D6">
      <w:pPr>
        <w:spacing w:line="360" w:lineRule="auto"/>
        <w:jc w:val="center"/>
        <w:rPr>
          <w:rFonts w:ascii="Times New Roman" w:hAnsi="Times New Roman" w:cs="Times New Roman"/>
        </w:rPr>
      </w:pPr>
    </w:p>
    <w:p w:rsidR="00223109" w:rsidRDefault="00223109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E05BB" w:rsidRPr="00CE60D6" w:rsidRDefault="00DE05BB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501540423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 Описание и характеристика объекта недвижимого имущества</w:t>
      </w:r>
      <w:bookmarkEnd w:id="6"/>
    </w:p>
    <w:p w:rsidR="00D73F17" w:rsidRDefault="00D73F17" w:rsidP="0022310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3109" w:rsidRDefault="00223109" w:rsidP="0022310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181">
        <w:rPr>
          <w:rFonts w:ascii="Times New Roman" w:eastAsia="Calibri" w:hAnsi="Times New Roman" w:cs="Times New Roman"/>
          <w:sz w:val="28"/>
          <w:szCs w:val="28"/>
        </w:rPr>
        <w:t xml:space="preserve">Объектом управления является отдельно стоящее двухэтажное нежилое здание – общей площадью </w:t>
      </w:r>
      <w:r>
        <w:rPr>
          <w:rFonts w:ascii="Times New Roman" w:eastAsia="Calibri" w:hAnsi="Times New Roman" w:cs="Times New Roman"/>
          <w:sz w:val="28"/>
          <w:szCs w:val="28"/>
        </w:rPr>
        <w:t>2000</w:t>
      </w:r>
      <w:r w:rsidRPr="00535181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535181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5351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здании будет располагаться </w:t>
      </w:r>
      <w:r w:rsidRPr="00535181">
        <w:rPr>
          <w:rFonts w:ascii="Times New Roman" w:eastAsia="Calibri" w:hAnsi="Times New Roman" w:cs="Times New Roman"/>
          <w:sz w:val="28"/>
          <w:szCs w:val="28"/>
        </w:rPr>
        <w:t>общеобразовательная школа на 11 классов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а в вечернее время будут функционировать спортивные секции: баскетбол, футбол, волейбол, станция юного техника, а также помещение для проведения фитнес занятий. На территории имеется кольцо для бега протяженностью 1,2 км. </w:t>
      </w:r>
    </w:p>
    <w:p w:rsidR="00223109" w:rsidRDefault="00223109" w:rsidP="0022310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181">
        <w:rPr>
          <w:rFonts w:ascii="Times New Roman" w:eastAsia="Calibri" w:hAnsi="Times New Roman" w:cs="Times New Roman"/>
          <w:sz w:val="28"/>
          <w:szCs w:val="28"/>
        </w:rPr>
        <w:t xml:space="preserve">Объект управления расположен в </w:t>
      </w:r>
      <w:r>
        <w:rPr>
          <w:rFonts w:ascii="Times New Roman" w:eastAsia="Calibri" w:hAnsi="Times New Roman" w:cs="Times New Roman"/>
          <w:sz w:val="28"/>
          <w:szCs w:val="28"/>
        </w:rPr>
        <w:t>северной</w:t>
      </w:r>
      <w:r w:rsidRPr="00535181">
        <w:rPr>
          <w:rFonts w:ascii="Times New Roman" w:eastAsia="Calibri" w:hAnsi="Times New Roman" w:cs="Times New Roman"/>
          <w:sz w:val="28"/>
          <w:szCs w:val="28"/>
        </w:rPr>
        <w:t xml:space="preserve"> части города, рядом с жилыми домами, а 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поблизости имеется</w:t>
      </w:r>
      <w:r w:rsidRPr="00535181">
        <w:rPr>
          <w:rFonts w:ascii="Times New Roman" w:eastAsia="Calibri" w:hAnsi="Times New Roman" w:cs="Times New Roman"/>
          <w:sz w:val="28"/>
          <w:szCs w:val="28"/>
        </w:rPr>
        <w:t xml:space="preserve"> поликлиник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535181">
        <w:rPr>
          <w:rFonts w:ascii="Times New Roman" w:eastAsia="Calibri" w:hAnsi="Times New Roman" w:cs="Times New Roman"/>
          <w:sz w:val="28"/>
          <w:szCs w:val="28"/>
        </w:rPr>
        <w:t xml:space="preserve"> и детские сады.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 школе имеются заасфальтированные подъездные пути, собственная автомобильная стоянка. В радиусе 200 метров имеются несколько автобусных остановок. </w:t>
      </w:r>
    </w:p>
    <w:p w:rsidR="00223109" w:rsidRDefault="00223109" w:rsidP="002231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1 приведена поэтажная экспликация помещений:</w:t>
      </w:r>
    </w:p>
    <w:p w:rsidR="00223109" w:rsidRDefault="00223109" w:rsidP="002231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Табл.1</w:t>
      </w:r>
    </w:p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851"/>
        <w:gridCol w:w="7513"/>
        <w:gridCol w:w="1701"/>
      </w:tblGrid>
      <w:tr w:rsidR="00223109" w:rsidRPr="00535181" w:rsidTr="00EC20D8">
        <w:trPr>
          <w:trHeight w:val="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Площадь, м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223109" w:rsidRPr="00535181" w:rsidTr="00EC20D8">
        <w:trPr>
          <w:trHeight w:val="31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этаж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Спальня - игровая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37,26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37,95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 мастера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9,89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Кладовая сырья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</w:tr>
      <w:tr w:rsidR="00223109" w:rsidRPr="00535181" w:rsidTr="00EC20D8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по обработке металла и дерева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57,87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Обеденный зал на 42 места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30,13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Кухня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22,07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Моечная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7,45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Кладовая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5,29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Кладовая сухих продуктов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7,35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6,69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Умывальная, уборная для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Рекреация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80,67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Коридоры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57,19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Вестибюль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111,48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для младших классов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37,05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Умывальные, уборные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11,86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технического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9,01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Фотолаборатория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9,04</w:t>
            </w:r>
          </w:p>
        </w:tc>
      </w:tr>
      <w:tr w:rsidR="00223109" w:rsidRPr="00535181" w:rsidTr="00EC20D8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обслуживающих видов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66,83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Гардероб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10,38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врача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Радиоузел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5,98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Умывальные, уборные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5,26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Раздевальные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21,16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Спортзал, эстрада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204,23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Гардероб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инструктора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7,94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Снарядная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16,72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Тамбуры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18,27</w:t>
            </w:r>
          </w:p>
        </w:tc>
      </w:tr>
      <w:tr w:rsidR="00223109" w:rsidRPr="00535181" w:rsidTr="00EC20D8">
        <w:trPr>
          <w:trHeight w:val="31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этаж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Лаборантская биологии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18,82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Лаборатория химии и биологии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39,72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Лаборантская химии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17,48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Кружок юных натуралистов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16,47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Комната общественных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18,27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Лаборатория физики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36,71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Лаборатория физики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15,66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математики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литературы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30,34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иностранного языка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33,02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истории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35,83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Киноаппаратная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22,37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Рекреация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72,3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Коридоры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160,41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по профориентации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37,05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9,02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Умывальные, уборные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8,68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Военный кабинет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32,76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 для хранения оружия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6,03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заместителя директора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9,51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директора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10,57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Канцелярия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22,12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информатики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37,08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черчения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35,49</w:t>
            </w:r>
          </w:p>
        </w:tc>
      </w:tr>
      <w:tr w:rsidR="00223109" w:rsidRPr="00535181" w:rsidTr="00EC20D8">
        <w:trPr>
          <w:trHeight w:val="31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Подвал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Венткамера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34,46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Тепловой узел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15,46</w:t>
            </w:r>
          </w:p>
        </w:tc>
      </w:tr>
      <w:tr w:rsidR="00223109" w:rsidRPr="00535181" w:rsidTr="00EC20D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109" w:rsidRPr="00535181" w:rsidRDefault="00223109" w:rsidP="00EC2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Электрощитовая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26,59</w:t>
            </w:r>
          </w:p>
        </w:tc>
      </w:tr>
    </w:tbl>
    <w:p w:rsidR="00223109" w:rsidRDefault="00223109" w:rsidP="0022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3109" w:rsidRDefault="00223109" w:rsidP="002231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181">
        <w:rPr>
          <w:rFonts w:ascii="Times New Roman" w:hAnsi="Times New Roman" w:cs="Times New Roman"/>
          <w:sz w:val="28"/>
          <w:szCs w:val="28"/>
        </w:rPr>
        <w:t xml:space="preserve">В таблице 2 приведены основные технические данные (согласно предоставленному техническому паспорту и осмотру оценщика). </w:t>
      </w:r>
    </w:p>
    <w:p w:rsidR="00223109" w:rsidRDefault="00223109" w:rsidP="002231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Табл.2</w:t>
      </w:r>
    </w:p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2162"/>
        <w:gridCol w:w="7903"/>
      </w:tblGrid>
      <w:tr w:rsidR="00223109" w:rsidRPr="00535181" w:rsidTr="00EC20D8">
        <w:trPr>
          <w:trHeight w:val="702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Фундаменты</w:t>
            </w: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онолитные железобетонные стаканного типа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этажей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2B2967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здания,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9004,96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Стены наружные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рехслойные панели самонесущие с гибкими связями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Стены наружные цокольные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рехслойные панели с жесткими</w:t>
            </w:r>
            <w:r w:rsidR="009C1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связями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ирпичные и сборные железобетонные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Перекрытия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елезобетонные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еревянные, паркетные, бетонные, линолеумные, керамические плитки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Наружная отделка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ремнийорганические эмали</w:t>
            </w:r>
          </w:p>
        </w:tc>
      </w:tr>
      <w:tr w:rsidR="00223109" w:rsidRPr="00535181" w:rsidTr="00EC20D8">
        <w:trPr>
          <w:trHeight w:val="641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отделка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обелка клеевая, улучшенная окраска водоэмульсионной краской, глазурованная плитка, масляная окраска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Кровля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улонная из 4-х слоев рубероида на битумной мастике с защитным слоем гравия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Лестницы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борные железобетонные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лоская совмещенная с внутренним водостоком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наружной сети напряжения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Водопровод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озяйственно-питьевой от наружной сети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Канализация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озяйственно-бытовая и производственная в выгреб</w:t>
            </w:r>
          </w:p>
        </w:tc>
      </w:tr>
      <w:tr w:rsidR="00223109" w:rsidRPr="00535181" w:rsidTr="00EC20D8">
        <w:trPr>
          <w:trHeight w:val="32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09" w:rsidRPr="00535181" w:rsidRDefault="00223109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535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наружных сетей</w:t>
            </w:r>
          </w:p>
        </w:tc>
      </w:tr>
    </w:tbl>
    <w:p w:rsidR="00223109" w:rsidRDefault="00223109" w:rsidP="0022310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</w:p>
    <w:p w:rsidR="00223109" w:rsidRDefault="00223109" w:rsidP="0022310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697A" w:rsidRPr="00CE60D6" w:rsidRDefault="000B697A" w:rsidP="00CE60D6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</w:p>
    <w:p w:rsidR="00223109" w:rsidRDefault="00223109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E05BB" w:rsidRDefault="00DE05BB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501540424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 Цель программы</w:t>
      </w:r>
      <w:bookmarkEnd w:id="7"/>
    </w:p>
    <w:p w:rsidR="00223109" w:rsidRPr="00223109" w:rsidRDefault="00223109" w:rsidP="00223109"/>
    <w:p w:rsidR="00223109" w:rsidRPr="00CA04A2" w:rsidRDefault="00223109" w:rsidP="00223109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04A2">
        <w:rPr>
          <w:sz w:val="28"/>
          <w:szCs w:val="28"/>
        </w:rPr>
        <w:t>правляющий недвижимостью привлекается на функционирующий объект.</w:t>
      </w:r>
      <w:r w:rsidRPr="00BE3E3C">
        <w:rPr>
          <w:sz w:val="28"/>
          <w:szCs w:val="28"/>
        </w:rPr>
        <w:t xml:space="preserve"> </w:t>
      </w:r>
      <w:r w:rsidRPr="00CA04A2">
        <w:rPr>
          <w:sz w:val="28"/>
          <w:szCs w:val="28"/>
        </w:rPr>
        <w:t>После подписания договора собственником и управляющим организуется процесс приема-передачи: устанавливается срок передачи, назначаются ответственные от сторон за сдачу и приемку объекта, формируются комиссии экспертов, уведомляются все участники и заинтересованные лица. До начала работ собственник передает управляющему техническую документацию по объекту:</w:t>
      </w:r>
    </w:p>
    <w:p w:rsidR="00223109" w:rsidRPr="00CA04A2" w:rsidRDefault="00223109" w:rsidP="00223109">
      <w:pPr>
        <w:pStyle w:val="a6"/>
        <w:numPr>
          <w:ilvl w:val="1"/>
          <w:numId w:val="4"/>
        </w:numPr>
        <w:tabs>
          <w:tab w:val="clear" w:pos="1440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технический паспорт на здание;</w:t>
      </w:r>
    </w:p>
    <w:p w:rsidR="00223109" w:rsidRPr="00CA04A2" w:rsidRDefault="00223109" w:rsidP="00223109">
      <w:pPr>
        <w:pStyle w:val="a6"/>
        <w:numPr>
          <w:ilvl w:val="1"/>
          <w:numId w:val="4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поэтажные планы, проектно-сметную документацию;</w:t>
      </w:r>
    </w:p>
    <w:p w:rsidR="00223109" w:rsidRPr="00CA04A2" w:rsidRDefault="00223109" w:rsidP="00223109">
      <w:pPr>
        <w:pStyle w:val="a6"/>
        <w:numPr>
          <w:ilvl w:val="1"/>
          <w:numId w:val="4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акты предыдущих технических экспертиз объекта, ведомости дефектов предыдущих ремонтных работ, акты приемки выполненных работ.</w:t>
      </w:r>
    </w:p>
    <w:p w:rsidR="00223109" w:rsidRPr="00CA04A2" w:rsidRDefault="00223109" w:rsidP="00223109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Кроме технической документации, при передаче-приеме объекта в управление передаются (или добываются управляющим самостоятельно) сведения:</w:t>
      </w:r>
    </w:p>
    <w:p w:rsidR="00223109" w:rsidRPr="00CA04A2" w:rsidRDefault="00223109" w:rsidP="00223109">
      <w:pPr>
        <w:pStyle w:val="a6"/>
        <w:numPr>
          <w:ilvl w:val="1"/>
          <w:numId w:val="5"/>
        </w:numPr>
        <w:tabs>
          <w:tab w:val="clear" w:pos="1440"/>
          <w:tab w:val="num" w:pos="1260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о допустимых расходах электроэнергии и тепла;</w:t>
      </w:r>
    </w:p>
    <w:p w:rsidR="00223109" w:rsidRPr="00CA04A2" w:rsidRDefault="00223109" w:rsidP="00223109">
      <w:pPr>
        <w:pStyle w:val="a6"/>
        <w:numPr>
          <w:ilvl w:val="1"/>
          <w:numId w:val="5"/>
        </w:numPr>
        <w:tabs>
          <w:tab w:val="clear" w:pos="1440"/>
          <w:tab w:val="num" w:pos="1260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об ограничениях по использованию холодной и горячей воды;</w:t>
      </w:r>
    </w:p>
    <w:p w:rsidR="00223109" w:rsidRPr="00CA04A2" w:rsidRDefault="00223109" w:rsidP="00223109">
      <w:pPr>
        <w:pStyle w:val="a6"/>
        <w:numPr>
          <w:ilvl w:val="1"/>
          <w:numId w:val="5"/>
        </w:numPr>
        <w:tabs>
          <w:tab w:val="clear" w:pos="1440"/>
          <w:tab w:val="num" w:pos="1260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о состоянии канализации, мусоропроводов, газоснабжения.</w:t>
      </w:r>
    </w:p>
    <w:p w:rsidR="00223109" w:rsidRPr="00CA04A2" w:rsidRDefault="00223109" w:rsidP="00223109">
      <w:pPr>
        <w:pStyle w:val="a6"/>
        <w:spacing w:line="360" w:lineRule="auto"/>
        <w:ind w:firstLine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При техническом освидетельствовании объекта обследуются как подземные (фундаменты, подвалы), так и надземные конструкции здания (несущие и ограждающие конструкции, защитные покрытия и кровли, рабочие покрытия конструктивных элементов, в том числе отделочные слои). В процессе обследования проводится инвентаризация помещений и оборудования, заполняются подготовленные заранее инвентаризационные и дефектные ведомости (с перечнем и характеристиками неисправностей) по элементам конструкций, сантехническому и электротехническому оборудованию.</w:t>
      </w:r>
    </w:p>
    <w:p w:rsidR="00223109" w:rsidRPr="00CA04A2" w:rsidRDefault="00223109" w:rsidP="00223109">
      <w:pPr>
        <w:pStyle w:val="a6"/>
        <w:spacing w:line="360" w:lineRule="auto"/>
        <w:ind w:firstLine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 xml:space="preserve">Инвентаризационная ведомость кроме технических характеристик помещений (местоположение, площадь, состояние стен, пола, потолка, окон, </w:t>
      </w:r>
      <w:r w:rsidRPr="00CA04A2">
        <w:rPr>
          <w:sz w:val="28"/>
          <w:szCs w:val="28"/>
        </w:rPr>
        <w:lastRenderedPageBreak/>
        <w:t>дверей, электрических приборов, отопительного оборудования и пр.) может включать в себя информацию о фактическом использовании и о пользователях этих помещений.</w:t>
      </w:r>
    </w:p>
    <w:p w:rsidR="00223109" w:rsidRPr="00CA04A2" w:rsidRDefault="00223109" w:rsidP="00223109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Отдельно от ведомости по помещениям составляется инвентаризационная ведомость по прилегающему земельному участку, в которой указывается:</w:t>
      </w:r>
    </w:p>
    <w:p w:rsidR="00223109" w:rsidRPr="00CA04A2" w:rsidRDefault="00223109" w:rsidP="00223109">
      <w:pPr>
        <w:pStyle w:val="a6"/>
        <w:numPr>
          <w:ilvl w:val="1"/>
          <w:numId w:val="6"/>
        </w:numPr>
        <w:tabs>
          <w:tab w:val="clear" w:pos="1440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площадь этого участка (</w:t>
      </w:r>
      <w:r>
        <w:rPr>
          <w:sz w:val="28"/>
          <w:szCs w:val="28"/>
        </w:rPr>
        <w:t>2000</w:t>
      </w:r>
      <w:r w:rsidR="009C116C">
        <w:rPr>
          <w:sz w:val="28"/>
          <w:szCs w:val="28"/>
        </w:rPr>
        <w:t xml:space="preserve"> </w:t>
      </w:r>
      <w:r w:rsidRPr="00CA04A2">
        <w:rPr>
          <w:sz w:val="28"/>
          <w:szCs w:val="28"/>
        </w:rPr>
        <w:t>кв. м.);</w:t>
      </w:r>
    </w:p>
    <w:p w:rsidR="00223109" w:rsidRPr="00CA04A2" w:rsidRDefault="00223109" w:rsidP="00223109">
      <w:pPr>
        <w:pStyle w:val="a6"/>
        <w:numPr>
          <w:ilvl w:val="1"/>
          <w:numId w:val="6"/>
        </w:numPr>
        <w:tabs>
          <w:tab w:val="clear" w:pos="1440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характеристика имеющихся улучшений;</w:t>
      </w:r>
    </w:p>
    <w:p w:rsidR="00223109" w:rsidRPr="00CA04A2" w:rsidRDefault="00223109" w:rsidP="00223109">
      <w:pPr>
        <w:pStyle w:val="a6"/>
        <w:numPr>
          <w:ilvl w:val="1"/>
          <w:numId w:val="6"/>
        </w:numPr>
        <w:tabs>
          <w:tab w:val="clear" w:pos="1440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состояние зеленых насаждений;</w:t>
      </w:r>
    </w:p>
    <w:p w:rsidR="00223109" w:rsidRPr="00CA04A2" w:rsidRDefault="00223109" w:rsidP="00223109">
      <w:pPr>
        <w:pStyle w:val="a6"/>
        <w:numPr>
          <w:ilvl w:val="1"/>
          <w:numId w:val="6"/>
        </w:numPr>
        <w:tabs>
          <w:tab w:val="clear" w:pos="1440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A04A2">
        <w:rPr>
          <w:sz w:val="28"/>
          <w:szCs w:val="28"/>
        </w:rPr>
        <w:t>места сбора и хранения мусора.</w:t>
      </w:r>
    </w:p>
    <w:p w:rsidR="00223109" w:rsidRDefault="00223109" w:rsidP="00223109">
      <w:pPr>
        <w:tabs>
          <w:tab w:val="left" w:pos="283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0B697A" w:rsidRPr="00CE60D6" w:rsidRDefault="000B697A" w:rsidP="00CE60D6">
      <w:pPr>
        <w:spacing w:line="360" w:lineRule="auto"/>
        <w:jc w:val="center"/>
        <w:rPr>
          <w:rFonts w:ascii="Times New Roman" w:hAnsi="Times New Roman" w:cs="Times New Roman"/>
        </w:rPr>
      </w:pPr>
    </w:p>
    <w:p w:rsidR="00223109" w:rsidRDefault="00223109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E05BB" w:rsidRPr="00CE60D6" w:rsidRDefault="00DE05BB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501540425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 Описание стратегии управления объектом</w:t>
      </w:r>
      <w:bookmarkEnd w:id="8"/>
    </w:p>
    <w:p w:rsidR="001F3794" w:rsidRDefault="001F3794" w:rsidP="001F379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3F17" w:rsidRDefault="00D73F17" w:rsidP="00D73F17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Основу стратегии управления составит организация спортивных клубов при школе на коммерческой основе (о льготными условиями для учителей и учеников самой школы).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109">
        <w:rPr>
          <w:rFonts w:ascii="Times New Roman" w:hAnsi="Times New Roman" w:cs="Times New Roman"/>
          <w:sz w:val="28"/>
          <w:szCs w:val="28"/>
        </w:rPr>
        <w:t>В задачи управляющего входит: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>техническое обслуживание и эксплуатация недвижимости;</w:t>
      </w:r>
      <w:r w:rsidR="009C116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 xml:space="preserve">планирование и распределение доходов и расходов; 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>привлечение инвестиций;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>маркетинг и реклама объекта;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>анализ эксплуатационных расходов и их снижение;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 xml:space="preserve">отношения с коммунальными службами; 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>организация охраны объекта недвижимости.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 xml:space="preserve">К целям управления недвижимостью можно отнести следующие пункты: 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 xml:space="preserve">поддержание хорошего состояния объекта недвижимости; 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 xml:space="preserve">минимизация затрат на техническое обслуживание и эксплуатацию недвижимости; 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 xml:space="preserve">повышение престижа собственника в результате обладания соответствующим объектом недвижимости. </w:t>
      </w:r>
    </w:p>
    <w:p w:rsidR="00D73F17" w:rsidRPr="00223109" w:rsidRDefault="00D73F17" w:rsidP="00D73F1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 xml:space="preserve">получение периодического дохода и его максимизация; </w:t>
      </w:r>
    </w:p>
    <w:p w:rsidR="00D73F17" w:rsidRPr="000E63AE" w:rsidRDefault="00D73F17" w:rsidP="00D73F17">
      <w:pPr>
        <w:pStyle w:val="a5"/>
        <w:spacing w:line="360" w:lineRule="auto"/>
        <w:ind w:firstLine="709"/>
        <w:jc w:val="both"/>
        <w:rPr>
          <w:rFonts w:eastAsia="Calibri"/>
          <w:szCs w:val="24"/>
        </w:rPr>
      </w:pPr>
      <w:r w:rsidRPr="00223109">
        <w:rPr>
          <w:rFonts w:ascii="Times New Roman" w:eastAsia="Calibri" w:hAnsi="Times New Roman" w:cs="Times New Roman"/>
          <w:sz w:val="28"/>
          <w:szCs w:val="28"/>
        </w:rPr>
        <w:t>увеличение стоимости недвижимости</w:t>
      </w:r>
      <w:r>
        <w:rPr>
          <w:rFonts w:eastAsia="Calibri"/>
          <w:szCs w:val="24"/>
        </w:rPr>
        <w:t>.</w:t>
      </w:r>
    </w:p>
    <w:p w:rsidR="00D73F17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Проведение ремонтных работ позволяет снизить физический износ объекта, улучшить его внешний вид, тем самым, повысить его рыночную привлекательность. В целом по зданию не требуется модернизация или замена мощности какой-либо системы здания.</w:t>
      </w:r>
      <w:r w:rsidR="009C116C">
        <w:rPr>
          <w:rFonts w:ascii="Times New Roman" w:hAnsi="Times New Roman" w:cs="Times New Roman"/>
          <w:sz w:val="28"/>
          <w:szCs w:val="28"/>
        </w:rPr>
        <w:t xml:space="preserve"> </w:t>
      </w:r>
      <w:r w:rsidRPr="00AE7022">
        <w:rPr>
          <w:rFonts w:ascii="Times New Roman" w:hAnsi="Times New Roman" w:cs="Times New Roman"/>
          <w:sz w:val="28"/>
          <w:szCs w:val="28"/>
        </w:rPr>
        <w:t>После проведения ремонта все системы будут отвечать потребностям собственника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3F17" w:rsidRDefault="00D73F17" w:rsidP="001F379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794" w:rsidRDefault="001F3794" w:rsidP="001F379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97A" w:rsidRPr="00CE60D6" w:rsidRDefault="000B697A" w:rsidP="00CE60D6">
      <w:pPr>
        <w:spacing w:line="360" w:lineRule="auto"/>
        <w:jc w:val="center"/>
        <w:rPr>
          <w:rFonts w:ascii="Times New Roman" w:hAnsi="Times New Roman" w:cs="Times New Roman"/>
        </w:rPr>
      </w:pPr>
    </w:p>
    <w:p w:rsidR="00DE05BB" w:rsidRPr="00CE60D6" w:rsidRDefault="00DE05BB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501540426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Анализ наилучшего и наиболее эффективного использования объекта</w:t>
      </w:r>
      <w:bookmarkEnd w:id="9"/>
    </w:p>
    <w:p w:rsidR="000B697A" w:rsidRDefault="000B697A" w:rsidP="00CE60D6">
      <w:pPr>
        <w:spacing w:line="360" w:lineRule="auto"/>
        <w:jc w:val="center"/>
        <w:rPr>
          <w:rFonts w:ascii="Times New Roman" w:hAnsi="Times New Roman" w:cs="Times New Roman"/>
        </w:rPr>
      </w:pPr>
    </w:p>
    <w:p w:rsidR="00D73F17" w:rsidRPr="001F3794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794">
        <w:rPr>
          <w:rFonts w:ascii="Times New Roman" w:hAnsi="Times New Roman" w:cs="Times New Roman"/>
          <w:sz w:val="28"/>
          <w:szCs w:val="28"/>
        </w:rPr>
        <w:t>Школа построена в 2005 году и не имеет достаточно современного оборудования, состояния здания оценивается как хорошее.</w:t>
      </w:r>
    </w:p>
    <w:p w:rsidR="00D73F17" w:rsidRPr="001F3794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794">
        <w:rPr>
          <w:rFonts w:ascii="Times New Roman" w:hAnsi="Times New Roman" w:cs="Times New Roman"/>
          <w:sz w:val="28"/>
          <w:szCs w:val="28"/>
        </w:rPr>
        <w:t>Помимо данных учебных заведений, в районе имеется спортивная секция каратэ, ушу, фитнес-клуб.</w:t>
      </w:r>
    </w:p>
    <w:p w:rsidR="00D73F17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794">
        <w:rPr>
          <w:rFonts w:ascii="Times New Roman" w:hAnsi="Times New Roman" w:cs="Times New Roman"/>
          <w:sz w:val="28"/>
          <w:szCs w:val="28"/>
        </w:rPr>
        <w:t>По проведенному анализу предполагаемых конкурентов и их видов деятельности, можно сделать вывод, что в данном развивающ</w:t>
      </w:r>
      <w:r>
        <w:rPr>
          <w:rFonts w:ascii="Times New Roman" w:hAnsi="Times New Roman" w:cs="Times New Roman"/>
          <w:sz w:val="28"/>
          <w:szCs w:val="28"/>
        </w:rPr>
        <w:t xml:space="preserve">емся районе необходима школа с </w:t>
      </w:r>
      <w:r w:rsidRPr="001F3794">
        <w:rPr>
          <w:rFonts w:ascii="Times New Roman" w:hAnsi="Times New Roman" w:cs="Times New Roman"/>
          <w:sz w:val="28"/>
          <w:szCs w:val="28"/>
        </w:rPr>
        <w:t>дополнительными спортивными</w:t>
      </w:r>
      <w:r w:rsidR="009C116C">
        <w:rPr>
          <w:rFonts w:ascii="Times New Roman" w:hAnsi="Times New Roman" w:cs="Times New Roman"/>
          <w:sz w:val="28"/>
          <w:szCs w:val="28"/>
        </w:rPr>
        <w:t xml:space="preserve"> </w:t>
      </w:r>
      <w:r w:rsidRPr="001F3794">
        <w:rPr>
          <w:rFonts w:ascii="Times New Roman" w:hAnsi="Times New Roman" w:cs="Times New Roman"/>
          <w:sz w:val="28"/>
          <w:szCs w:val="28"/>
        </w:rPr>
        <w:t xml:space="preserve">секциями. Необходимость </w:t>
      </w:r>
      <w:r w:rsidR="000E5BC9">
        <w:rPr>
          <w:rFonts w:ascii="Times New Roman" w:hAnsi="Times New Roman" w:cs="Times New Roman"/>
          <w:sz w:val="28"/>
          <w:szCs w:val="28"/>
        </w:rPr>
        <w:t>реконструкции</w:t>
      </w:r>
      <w:r w:rsidRPr="001F3794">
        <w:rPr>
          <w:rFonts w:ascii="Times New Roman" w:hAnsi="Times New Roman" w:cs="Times New Roman"/>
          <w:sz w:val="28"/>
          <w:szCs w:val="28"/>
        </w:rPr>
        <w:t xml:space="preserve"> школы обусловлена тем, что в районе проживают различные семьи с неодинаковым уровнем дохода. Новая школа будет позиционироваться как школа доступная различным категориям граждан. Наличие же новых спортивных секций обусловлено их нехваткой в районе. Секции, которые имеются, не способны удовлетворить спрос населения на данный вид услуг.</w:t>
      </w:r>
    </w:p>
    <w:p w:rsidR="00D73F17" w:rsidRPr="00D73F17" w:rsidRDefault="00D73F17" w:rsidP="00D73F17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73F17">
        <w:rPr>
          <w:rFonts w:ascii="Times New Roman" w:hAnsi="Times New Roman" w:cs="Times New Roman"/>
          <w:sz w:val="28"/>
          <w:szCs w:val="28"/>
        </w:rPr>
        <w:t xml:space="preserve"> данном </w:t>
      </w:r>
      <w:r>
        <w:rPr>
          <w:rFonts w:ascii="Times New Roman" w:hAnsi="Times New Roman" w:cs="Times New Roman"/>
          <w:sz w:val="28"/>
          <w:szCs w:val="28"/>
        </w:rPr>
        <w:t>микро</w:t>
      </w:r>
      <w:r w:rsidRPr="00D73F17">
        <w:rPr>
          <w:rFonts w:ascii="Times New Roman" w:hAnsi="Times New Roman" w:cs="Times New Roman"/>
          <w:sz w:val="28"/>
          <w:szCs w:val="28"/>
        </w:rPr>
        <w:t>районе не</w:t>
      </w:r>
      <w:r w:rsidR="000E5BC9">
        <w:rPr>
          <w:rFonts w:ascii="Times New Roman" w:hAnsi="Times New Roman" w:cs="Times New Roman"/>
          <w:sz w:val="28"/>
          <w:szCs w:val="28"/>
        </w:rPr>
        <w:t>достаточно</w:t>
      </w:r>
      <w:r w:rsidRPr="00D73F17">
        <w:rPr>
          <w:rFonts w:ascii="Times New Roman" w:hAnsi="Times New Roman" w:cs="Times New Roman"/>
          <w:sz w:val="28"/>
          <w:szCs w:val="28"/>
        </w:rPr>
        <w:t xml:space="preserve"> секций футбола, баскетбола, волейбола, а также настольного те</w:t>
      </w:r>
      <w:r>
        <w:rPr>
          <w:rFonts w:ascii="Times New Roman" w:hAnsi="Times New Roman" w:cs="Times New Roman"/>
          <w:sz w:val="28"/>
          <w:szCs w:val="28"/>
        </w:rPr>
        <w:t xml:space="preserve">нниса. Услуги фитнес-клуба </w:t>
      </w:r>
      <w:r w:rsidRPr="00D73F17">
        <w:rPr>
          <w:rFonts w:ascii="Times New Roman" w:hAnsi="Times New Roman" w:cs="Times New Roman"/>
          <w:sz w:val="28"/>
          <w:szCs w:val="28"/>
        </w:rPr>
        <w:t xml:space="preserve">имеются, но этого недостаточно. Потому было принято решение организовать в школе дополнительные спортивные секции осуществляющие набор на занятия футболом, баскетболом, волейболом, а также выделить помещение под обустройство фитнес-клуба. Также в районе отсутствуют кружок по радиоделу, потому было также принято решение об открытии радиокружка «Юный связист».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73F17">
        <w:rPr>
          <w:rFonts w:ascii="Times New Roman" w:hAnsi="Times New Roman" w:cs="Times New Roman"/>
          <w:sz w:val="28"/>
          <w:szCs w:val="28"/>
        </w:rPr>
        <w:t>анный кружок будет популярен, так как в век современных технологий, радиосвязи необходимы знания в радиоделе.</w:t>
      </w:r>
    </w:p>
    <w:p w:rsidR="00D73F17" w:rsidRPr="00D73F17" w:rsidRDefault="00D73F17" w:rsidP="00D73F1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F17">
        <w:rPr>
          <w:rFonts w:ascii="Times New Roman" w:hAnsi="Times New Roman" w:cs="Times New Roman"/>
          <w:sz w:val="28"/>
          <w:szCs w:val="28"/>
        </w:rPr>
        <w:tab/>
        <w:t>Секции по футболу, баскетболу и волейболу, рассчитаны в основном на детей в возрасте 8-18 лет. Набор будет осуществляться как среди учеников школы, так будет размещена реклама. Услуги по игре в настольный теннис будет доступна за плату любому желающему. Фитнес-клуб направлен в основном на девушек 18-45 лет, но так же при достаточном желании мужчин может быть организована и мужская группа.</w:t>
      </w:r>
    </w:p>
    <w:p w:rsidR="00DE05BB" w:rsidRPr="00CE60D6" w:rsidRDefault="00DE05BB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501540427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 Перечень основных мероприятий, необходимых для управления объектом</w:t>
      </w:r>
      <w:bookmarkEnd w:id="10"/>
    </w:p>
    <w:p w:rsidR="00D73F17" w:rsidRPr="00AE7022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Данное здание построено относительно недавно – в 2005 году, эксплуатировалось согласно проекту, поэтому функциональный износ на данный момент небольшой - всего 5%. Но отделка здания устарела и требует обновления, для повышения конкурентоспособности. Для уменьшения физического износа необходимо провести косметический ремонт здания.</w:t>
      </w:r>
    </w:p>
    <w:p w:rsidR="00D73F17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Согласно</w:t>
      </w:r>
      <w:r w:rsidR="009C116C">
        <w:rPr>
          <w:rFonts w:ascii="Times New Roman" w:hAnsi="Times New Roman" w:cs="Times New Roman"/>
          <w:sz w:val="28"/>
          <w:szCs w:val="28"/>
        </w:rPr>
        <w:t xml:space="preserve"> </w:t>
      </w:r>
      <w:r w:rsidRPr="00AE7022">
        <w:rPr>
          <w:rFonts w:ascii="Times New Roman" w:hAnsi="Times New Roman" w:cs="Times New Roman"/>
          <w:sz w:val="28"/>
          <w:szCs w:val="28"/>
        </w:rPr>
        <w:t>этому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7022">
        <w:rPr>
          <w:rFonts w:ascii="Times New Roman" w:hAnsi="Times New Roman" w:cs="Times New Roman"/>
          <w:sz w:val="28"/>
          <w:szCs w:val="28"/>
        </w:rPr>
        <w:t xml:space="preserve"> был составлен перечень строительных работ, которые планируется провести в рамках подготовки помещений к самостоятельному использованию в соответствии с планами и особенностями собственника. Необходимо провести ремонт внутренних и внешних поверхностей стен, полов.</w:t>
      </w:r>
    </w:p>
    <w:p w:rsidR="00D73F17" w:rsidRPr="00AE7022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Для проведения ремонтных работ было принято решение обратиться в специализированную компанию, так как данная компания давно работает на строительном рынке, а именно 15 лет, дает гарантию на все виды работ, а также предоставляет низкие цены, работы выполняют квалифицированные специалисты.</w:t>
      </w:r>
    </w:p>
    <w:p w:rsidR="00D73F17" w:rsidRPr="00AE7022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Цены указаны со стоимостью строительных материалов. Цены на ремонтные работы составлены в соответствии с прайс-листом услуг ремонтно-строительной организации.</w:t>
      </w:r>
    </w:p>
    <w:p w:rsidR="00D73F17" w:rsidRPr="00AE7022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Сумма для проведения небольшого косметического ремонта здания, которое в дальнейшем планируется для самостоятельного использования, составила 662 390 руб.</w:t>
      </w:r>
    </w:p>
    <w:p w:rsidR="00D73F17" w:rsidRPr="00AE7022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Также помимо проведения ремонтных работ, необходимо провести переоснащение некоторых помещений, а также перепланировку одного помещения для проведения занятий по фитнесу.</w:t>
      </w:r>
    </w:p>
    <w:p w:rsidR="00D73F17" w:rsidRPr="00AE7022" w:rsidRDefault="00D73F17" w:rsidP="00D73F1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Для приобретения необходимых товаров для оборудования спортивных помещений обратимся в торговую сеть «Спортмастер».</w:t>
      </w:r>
      <w:r w:rsidR="009C116C">
        <w:rPr>
          <w:rFonts w:ascii="Times New Roman" w:hAnsi="Times New Roman" w:cs="Times New Roman"/>
          <w:sz w:val="28"/>
          <w:szCs w:val="28"/>
        </w:rPr>
        <w:t xml:space="preserve"> </w:t>
      </w:r>
      <w:r w:rsidRPr="00AE7022">
        <w:rPr>
          <w:rFonts w:ascii="Times New Roman" w:hAnsi="Times New Roman" w:cs="Times New Roman"/>
          <w:sz w:val="28"/>
          <w:szCs w:val="28"/>
        </w:rPr>
        <w:t>В таблице приведен перечень затрат на приобретения оборудования для спортивного зала и кабинета радиомоделирования.</w:t>
      </w:r>
    </w:p>
    <w:p w:rsidR="00DE05BB" w:rsidRPr="00CE60D6" w:rsidRDefault="00DE05BB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501540428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7. Бюджет программы по управлению объектом недвижимости</w:t>
      </w:r>
      <w:bookmarkEnd w:id="11"/>
    </w:p>
    <w:p w:rsidR="001F3794" w:rsidRPr="00AE7022" w:rsidRDefault="001F3794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Затраты на проведение ремонта</w:t>
      </w:r>
      <w:r w:rsidRPr="00AE7022">
        <w:rPr>
          <w:rFonts w:ascii="Times New Roman" w:hAnsi="Times New Roman" w:cs="Times New Roman"/>
          <w:sz w:val="28"/>
          <w:szCs w:val="28"/>
        </w:rPr>
        <w:tab/>
      </w:r>
      <w:r w:rsidRPr="00AE7022">
        <w:rPr>
          <w:rFonts w:ascii="Times New Roman" w:hAnsi="Times New Roman" w:cs="Times New Roman"/>
          <w:sz w:val="28"/>
          <w:szCs w:val="28"/>
        </w:rPr>
        <w:tab/>
      </w:r>
      <w:r w:rsidRPr="00AE7022">
        <w:rPr>
          <w:rFonts w:ascii="Times New Roman" w:hAnsi="Times New Roman" w:cs="Times New Roman"/>
          <w:sz w:val="28"/>
          <w:szCs w:val="28"/>
        </w:rPr>
        <w:tab/>
      </w:r>
      <w:r w:rsidRPr="00AE702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067"/>
        <w:gridCol w:w="1885"/>
        <w:gridCol w:w="1664"/>
        <w:gridCol w:w="1729"/>
      </w:tblGrid>
      <w:tr w:rsidR="001F3794" w:rsidRPr="00AE7022" w:rsidTr="00EC20D8"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Стоимость единицы, руб.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Всего, руб.</w:t>
            </w:r>
          </w:p>
        </w:tc>
      </w:tr>
      <w:tr w:rsidR="001F3794" w:rsidRPr="00AE7022" w:rsidTr="00EC20D8"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Снятие старых обоев,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7 020</w:t>
            </w:r>
          </w:p>
        </w:tc>
      </w:tr>
      <w:tr w:rsidR="001F3794" w:rsidRPr="00AE7022" w:rsidTr="00EC20D8"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Оклейка обоев флизилиновых,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9 360</w:t>
            </w:r>
          </w:p>
        </w:tc>
      </w:tr>
      <w:tr w:rsidR="001F3794" w:rsidRPr="00AE7022" w:rsidTr="00EC20D8"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Снятие краски,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22 500</w:t>
            </w:r>
          </w:p>
        </w:tc>
      </w:tr>
      <w:tr w:rsidR="001F3794" w:rsidRPr="00AE7022" w:rsidTr="00EC20D8"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Штукатурка кирпичной кладки до 3 см,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60 990</w:t>
            </w:r>
          </w:p>
        </w:tc>
      </w:tr>
      <w:tr w:rsidR="001F3794" w:rsidRPr="00AE7022" w:rsidTr="00EC20D8"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Грунтовка стен после каждого цикла работ,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</w:tr>
      <w:tr w:rsidR="001F3794" w:rsidRPr="00AE7022" w:rsidTr="00EC20D8"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Шпаклевка и шлифовка стен под подкраску,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1F3794" w:rsidRPr="00AE7022" w:rsidTr="00EC20D8"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Покраска водоэмульсионной краской,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87 500</w:t>
            </w:r>
          </w:p>
        </w:tc>
      </w:tr>
      <w:tr w:rsidR="001F3794" w:rsidRPr="00AE7022" w:rsidTr="00EC20D8">
        <w:trPr>
          <w:trHeight w:val="1316"/>
        </w:trPr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Демонтаж ленолиума,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13 500</w:t>
            </w:r>
          </w:p>
        </w:tc>
      </w:tr>
      <w:tr w:rsidR="001F3794" w:rsidRPr="00AE7022" w:rsidTr="00EC20D8">
        <w:trPr>
          <w:trHeight w:val="1316"/>
        </w:trPr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выравнивание пола (заделка рустов, трещин, </w:t>
            </w:r>
          </w:p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отверстий),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 xml:space="preserve"> 29 000</w:t>
            </w:r>
          </w:p>
        </w:tc>
      </w:tr>
      <w:tr w:rsidR="001F3794" w:rsidRPr="00AE7022" w:rsidTr="00EC20D8"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Устройство плинтуса, м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69 000</w:t>
            </w:r>
          </w:p>
        </w:tc>
      </w:tr>
      <w:tr w:rsidR="001F3794" w:rsidRPr="00AE7022" w:rsidTr="00EC20D8">
        <w:trPr>
          <w:trHeight w:val="796"/>
        </w:trPr>
        <w:tc>
          <w:tcPr>
            <w:tcW w:w="4188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Укладка обычного</w:t>
            </w:r>
          </w:p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 xml:space="preserve"> линолеума, м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680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258 520</w:t>
            </w:r>
          </w:p>
        </w:tc>
      </w:tr>
      <w:tr w:rsidR="001F3794" w:rsidRPr="00AE7022" w:rsidTr="00EC20D8">
        <w:tc>
          <w:tcPr>
            <w:tcW w:w="7788" w:type="dxa"/>
            <w:gridSpan w:val="3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AE7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83" w:type="dxa"/>
            <w:vAlign w:val="center"/>
          </w:tcPr>
          <w:p w:rsidR="001F3794" w:rsidRPr="00AE7022" w:rsidRDefault="001F3794" w:rsidP="00EC2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22">
              <w:rPr>
                <w:rFonts w:ascii="Times New Roman" w:hAnsi="Times New Roman" w:cs="Times New Roman"/>
                <w:sz w:val="24"/>
                <w:szCs w:val="24"/>
              </w:rPr>
              <w:t>662 390</w:t>
            </w:r>
          </w:p>
        </w:tc>
      </w:tr>
    </w:tbl>
    <w:p w:rsidR="001F3794" w:rsidRDefault="001F3794" w:rsidP="001F37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F17" w:rsidRPr="00AE7022" w:rsidRDefault="00D73F17" w:rsidP="001F37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капитальных затрат – 66390 руб.</w:t>
      </w:r>
    </w:p>
    <w:p w:rsidR="00D73F17" w:rsidRDefault="00D73F17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51C45" w:rsidRDefault="00751C45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51C45" w:rsidRDefault="00751C45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51C45" w:rsidRDefault="00751C45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51C45" w:rsidRDefault="00751C45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51C45" w:rsidRDefault="00751C45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51C45" w:rsidRDefault="00751C45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51C45" w:rsidRDefault="00751C45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51C45" w:rsidRDefault="00751C45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51C45" w:rsidRDefault="00751C45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F3794" w:rsidRPr="00AE7022" w:rsidRDefault="001F3794" w:rsidP="001F379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lastRenderedPageBreak/>
        <w:t>Затраты на приобретение оборудования</w:t>
      </w:r>
      <w:r w:rsidRPr="00AE7022">
        <w:rPr>
          <w:rFonts w:ascii="Times New Roman" w:hAnsi="Times New Roman" w:cs="Times New Roman"/>
          <w:sz w:val="28"/>
          <w:szCs w:val="28"/>
        </w:rPr>
        <w:tab/>
      </w:r>
      <w:r w:rsidRPr="00AE7022">
        <w:rPr>
          <w:rFonts w:ascii="Times New Roman" w:hAnsi="Times New Roman" w:cs="Times New Roman"/>
          <w:sz w:val="28"/>
          <w:szCs w:val="28"/>
        </w:rPr>
        <w:tab/>
      </w:r>
      <w:r w:rsidRPr="00AE7022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7949" w:type="dxa"/>
        <w:jc w:val="center"/>
        <w:tblLook w:val="04A0" w:firstRow="1" w:lastRow="0" w:firstColumn="1" w:lastColumn="0" w:noHBand="0" w:noVBand="1"/>
      </w:tblPr>
      <w:tblGrid>
        <w:gridCol w:w="4248"/>
        <w:gridCol w:w="1559"/>
        <w:gridCol w:w="725"/>
        <w:gridCol w:w="1417"/>
      </w:tblGrid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ед., руб.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Сумма, руб.</w:t>
            </w:r>
          </w:p>
        </w:tc>
      </w:tr>
      <w:tr w:rsidR="001F3794" w:rsidRPr="00AE7022" w:rsidTr="00EC20D8">
        <w:trPr>
          <w:trHeight w:val="94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Баскетбольная</w:t>
            </w: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</w:t>
            </w: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Spalding Junior series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12 784</w:t>
            </w:r>
          </w:p>
        </w:tc>
      </w:tr>
      <w:tr w:rsidR="001F3794" w:rsidRPr="00AE7022" w:rsidTr="00EC20D8">
        <w:trPr>
          <w:trHeight w:val="63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баскетбольный Demix Basketball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</w:t>
            </w:r>
          </w:p>
        </w:tc>
      </w:tr>
      <w:tr w:rsidR="001F3794" w:rsidRPr="00AE7022" w:rsidTr="00EC20D8">
        <w:trPr>
          <w:trHeight w:val="63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794" w:rsidRPr="00AE7022" w:rsidRDefault="00625396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1F3794" w:rsidRPr="00AE7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Мяч волейбольный Molten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</w:t>
            </w:r>
          </w:p>
        </w:tc>
      </w:tr>
      <w:tr w:rsidR="001F3794" w:rsidRPr="00AE7022" w:rsidTr="00EC20D8">
        <w:trPr>
          <w:trHeight w:val="63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794" w:rsidRPr="00AE7022" w:rsidRDefault="00625396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1F3794" w:rsidRPr="00AE7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Мяч волейбольный Demix VLPVC2020D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</w:tr>
      <w:tr w:rsidR="001F3794" w:rsidRPr="00AE7022" w:rsidTr="00EC20D8">
        <w:trPr>
          <w:trHeight w:val="63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794" w:rsidRPr="00AE7022" w:rsidRDefault="00625396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1F3794" w:rsidRPr="00AE7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Мяч футбольный Molten VG-2500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</w:t>
            </w:r>
          </w:p>
        </w:tc>
      </w:tr>
      <w:tr w:rsidR="001F3794" w:rsidRPr="00AE7022" w:rsidTr="00EC20D8">
        <w:trPr>
          <w:trHeight w:val="63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794" w:rsidRPr="00AE7022" w:rsidRDefault="00625396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1" w:history="1">
              <w:r w:rsidR="001F3794" w:rsidRPr="00AE7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Мяч</w:t>
              </w:r>
              <w:r w:rsidR="001F3794" w:rsidRPr="00AE7022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 xml:space="preserve"> Demix Russian Team\TEST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</w:t>
            </w:r>
          </w:p>
        </w:tc>
      </w:tr>
      <w:tr w:rsidR="001F3794" w:rsidRPr="00AE7022" w:rsidTr="00EC20D8">
        <w:trPr>
          <w:trHeight w:val="63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794" w:rsidRPr="00AE7022" w:rsidRDefault="00625396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1F3794" w:rsidRPr="00AE70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Скакалка скоростная Torneo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1F3794" w:rsidRDefault="001F3794" w:rsidP="00EC20D8">
            <w:pPr>
              <w:pStyle w:val="3"/>
              <w:spacing w:before="0" w:line="299" w:lineRule="atLeas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12" w:name="_Toc374616352"/>
            <w:bookmarkStart w:id="13" w:name="_Toc501540429"/>
            <w:r w:rsidRPr="001F3794">
              <w:rPr>
                <w:rFonts w:ascii="Times New Roman" w:hAnsi="Times New Roman" w:cs="Times New Roman"/>
                <w:color w:val="auto"/>
              </w:rPr>
              <w:t>Обруч гимнастический Torneo</w:t>
            </w:r>
            <w:bookmarkEnd w:id="12"/>
            <w:bookmarkEnd w:id="13"/>
          </w:p>
          <w:p w:rsidR="001F3794" w:rsidRPr="001F3794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1F3794" w:rsidRDefault="001F3794" w:rsidP="00EC20D8">
            <w:pPr>
              <w:pStyle w:val="3"/>
              <w:spacing w:before="0" w:line="299" w:lineRule="atLeas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14" w:name="_Toc374616353"/>
            <w:bookmarkStart w:id="15" w:name="_Toc501540430"/>
            <w:r w:rsidRPr="001F3794">
              <w:rPr>
                <w:rFonts w:ascii="Times New Roman" w:hAnsi="Times New Roman" w:cs="Times New Roman"/>
                <w:color w:val="auto"/>
              </w:rPr>
              <w:t>Эспандер для груди Torneo</w:t>
            </w:r>
            <w:bookmarkEnd w:id="14"/>
            <w:bookmarkEnd w:id="15"/>
          </w:p>
          <w:p w:rsidR="001F3794" w:rsidRPr="001F3794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1F3794" w:rsidRDefault="001F3794" w:rsidP="00EC20D8">
            <w:pPr>
              <w:pStyle w:val="3"/>
              <w:spacing w:before="0" w:line="299" w:lineRule="atLeas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16" w:name="_Toc374616354"/>
            <w:bookmarkStart w:id="17" w:name="_Toc501540431"/>
            <w:r w:rsidRPr="001F3794">
              <w:rPr>
                <w:rFonts w:ascii="Times New Roman" w:hAnsi="Times New Roman" w:cs="Times New Roman"/>
                <w:color w:val="auto"/>
              </w:rPr>
              <w:t>Ролик для пресса Torneo</w:t>
            </w:r>
            <w:bookmarkEnd w:id="16"/>
            <w:bookmarkEnd w:id="17"/>
          </w:p>
          <w:p w:rsidR="001F3794" w:rsidRPr="001F3794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1F3794" w:rsidRDefault="001F3794" w:rsidP="00EC20D8">
            <w:pPr>
              <w:pStyle w:val="3"/>
              <w:spacing w:before="0" w:line="299" w:lineRule="atLeas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18" w:name="_Toc374616355"/>
            <w:bookmarkStart w:id="19" w:name="_Toc501540432"/>
            <w:r w:rsidRPr="001F3794">
              <w:rPr>
                <w:rFonts w:ascii="Times New Roman" w:hAnsi="Times New Roman" w:cs="Times New Roman"/>
                <w:color w:val="auto"/>
              </w:rPr>
              <w:t>Коврик для фитнеса Kettler 182х60см</w:t>
            </w:r>
            <w:bookmarkEnd w:id="18"/>
            <w:bookmarkEnd w:id="19"/>
          </w:p>
          <w:p w:rsidR="001F3794" w:rsidRPr="001F3794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1F3794" w:rsidRDefault="001F3794" w:rsidP="00EC20D8">
            <w:pPr>
              <w:pStyle w:val="3"/>
              <w:spacing w:before="0" w:line="299" w:lineRule="atLeas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20" w:name="_Toc374616356"/>
            <w:bookmarkStart w:id="21" w:name="_Toc501540433"/>
            <w:r w:rsidRPr="001F3794">
              <w:rPr>
                <w:rFonts w:ascii="Times New Roman" w:hAnsi="Times New Roman" w:cs="Times New Roman"/>
                <w:color w:val="auto"/>
              </w:rPr>
              <w:t>Стол теннисный Torneo TT01</w:t>
            </w:r>
            <w:bookmarkEnd w:id="20"/>
            <w:bookmarkEnd w:id="21"/>
          </w:p>
          <w:p w:rsidR="001F3794" w:rsidRPr="001F3794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1F3794" w:rsidRDefault="001F3794" w:rsidP="00EC20D8">
            <w:pPr>
              <w:pStyle w:val="3"/>
              <w:spacing w:before="0" w:line="299" w:lineRule="atLeas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22" w:name="_Toc374616357"/>
            <w:bookmarkStart w:id="23" w:name="_Toc501540434"/>
            <w:r w:rsidRPr="001F3794">
              <w:rPr>
                <w:rFonts w:ascii="Times New Roman" w:hAnsi="Times New Roman" w:cs="Times New Roman"/>
                <w:color w:val="auto"/>
              </w:rPr>
              <w:t>Мячи для настольного тенниса Torneo Invite 6шт.</w:t>
            </w:r>
            <w:bookmarkEnd w:id="22"/>
            <w:bookmarkEnd w:id="23"/>
          </w:p>
          <w:p w:rsidR="001F3794" w:rsidRPr="001F3794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1F3794" w:rsidRDefault="001F3794" w:rsidP="00EC20D8">
            <w:pPr>
              <w:pStyle w:val="3"/>
              <w:spacing w:before="0" w:line="299" w:lineRule="atLeas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24" w:name="_Toc374616358"/>
            <w:bookmarkStart w:id="25" w:name="_Toc501540435"/>
            <w:r w:rsidRPr="001F3794">
              <w:rPr>
                <w:rFonts w:ascii="Times New Roman" w:hAnsi="Times New Roman" w:cs="Times New Roman"/>
                <w:color w:val="auto"/>
              </w:rPr>
              <w:t>Ракетка для настольного тенниса коническая Torneo Invite Сompetition</w:t>
            </w:r>
            <w:bookmarkEnd w:id="24"/>
            <w:bookmarkEnd w:id="25"/>
          </w:p>
          <w:p w:rsidR="001F3794" w:rsidRPr="001F3794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1F3794" w:rsidRDefault="001F3794" w:rsidP="00EC20D8">
            <w:pPr>
              <w:pStyle w:val="3"/>
              <w:spacing w:before="0" w:line="299" w:lineRule="atLeas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26" w:name="_Toc374616359"/>
            <w:bookmarkStart w:id="27" w:name="_Toc501540436"/>
            <w:r w:rsidRPr="001F3794">
              <w:rPr>
                <w:rFonts w:ascii="Times New Roman" w:hAnsi="Times New Roman" w:cs="Times New Roman"/>
                <w:color w:val="auto"/>
              </w:rPr>
              <w:t>Скамья многофункциональная Torneo Bravo</w:t>
            </w:r>
            <w:bookmarkEnd w:id="26"/>
            <w:bookmarkEnd w:id="27"/>
          </w:p>
          <w:p w:rsidR="001F3794" w:rsidRPr="001F3794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1F3794" w:rsidRDefault="001F3794" w:rsidP="00EC20D8">
            <w:pPr>
              <w:pStyle w:val="3"/>
              <w:spacing w:before="0" w:line="299" w:lineRule="atLeas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28" w:name="_Toc374616360"/>
            <w:bookmarkStart w:id="29" w:name="_Toc501540437"/>
            <w:r w:rsidRPr="001F3794">
              <w:rPr>
                <w:rFonts w:ascii="Times New Roman" w:hAnsi="Times New Roman" w:cs="Times New Roman"/>
                <w:color w:val="auto"/>
              </w:rPr>
              <w:t>Мяч утяжеленный для Пилатеса Kettler 1кг</w:t>
            </w:r>
            <w:bookmarkEnd w:id="28"/>
            <w:bookmarkEnd w:id="29"/>
          </w:p>
          <w:p w:rsidR="001F3794" w:rsidRPr="001F3794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D73F17" w:rsidRDefault="00D73F17" w:rsidP="00D73F17">
            <w:pPr>
              <w:rPr>
                <w:rFonts w:eastAsia="Times New Roman"/>
                <w:lang w:eastAsia="ru-RU"/>
              </w:rPr>
            </w:pPr>
            <w:r w:rsidRPr="00D73F17">
              <w:t>Паяльник электрический 40В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</w:tr>
      <w:tr w:rsidR="001F3794" w:rsidRPr="00AE7022" w:rsidTr="00EC20D8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D73F17" w:rsidRDefault="00D73F17" w:rsidP="00D73F17">
            <w:pPr>
              <w:pStyle w:val="a5"/>
            </w:pPr>
            <w:r w:rsidRPr="00D73F17">
              <w:t>Припой паяльный 60/40 100г, 60582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794" w:rsidRPr="00AE7022" w:rsidRDefault="001F3794" w:rsidP="00EC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</w:tbl>
    <w:p w:rsidR="001F3794" w:rsidRDefault="001F3794" w:rsidP="001F3794">
      <w:pPr>
        <w:spacing w:line="240" w:lineRule="auto"/>
        <w:ind w:firstLine="708"/>
        <w:jc w:val="center"/>
        <w:rPr>
          <w:rFonts w:ascii="Times New Roman" w:hAnsi="Times New Roman" w:cs="Times New Roman"/>
          <w:sz w:val="32"/>
          <w:szCs w:val="32"/>
        </w:rPr>
      </w:pPr>
    </w:p>
    <w:p w:rsidR="00EC20D8" w:rsidRPr="00EC20D8" w:rsidRDefault="00EC20D8" w:rsidP="00EC20D8">
      <w:pPr>
        <w:pStyle w:val="a5"/>
        <w:rPr>
          <w:rFonts w:ascii="Times New Roman" w:hAnsi="Times New Roman" w:cs="Times New Roman"/>
          <w:sz w:val="28"/>
          <w:szCs w:val="28"/>
        </w:rPr>
      </w:pPr>
      <w:r w:rsidRPr="00EC20D8">
        <w:rPr>
          <w:rFonts w:ascii="Times New Roman" w:hAnsi="Times New Roman" w:cs="Times New Roman"/>
          <w:sz w:val="28"/>
          <w:szCs w:val="28"/>
        </w:rPr>
        <w:t>Итого 54000 руб.</w:t>
      </w:r>
    </w:p>
    <w:p w:rsidR="00D73F17" w:rsidRPr="00D73F17" w:rsidRDefault="00D73F17" w:rsidP="00D73F17">
      <w:pPr>
        <w:pStyle w:val="a5"/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F3794" w:rsidRPr="00AE7022" w:rsidRDefault="001F3794" w:rsidP="001F3794">
      <w:pPr>
        <w:rPr>
          <w:rFonts w:ascii="Times New Roman" w:hAnsi="Times New Roman" w:cs="Times New Roman"/>
        </w:rPr>
      </w:pPr>
    </w:p>
    <w:p w:rsidR="000B697A" w:rsidRPr="00CE60D6" w:rsidRDefault="000B697A" w:rsidP="00CE60D6">
      <w:pPr>
        <w:spacing w:line="360" w:lineRule="auto"/>
        <w:jc w:val="center"/>
        <w:rPr>
          <w:rFonts w:ascii="Times New Roman" w:hAnsi="Times New Roman" w:cs="Times New Roman"/>
        </w:rPr>
      </w:pPr>
    </w:p>
    <w:p w:rsidR="00DE05BB" w:rsidRPr="00CE60D6" w:rsidRDefault="00DE05BB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0" w:name="_Toc501540438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t>8. Анализ эффективности программы по управлению</w:t>
      </w:r>
      <w:bookmarkEnd w:id="30"/>
    </w:p>
    <w:p w:rsidR="00A94D68" w:rsidRPr="00C4760F" w:rsidRDefault="00A94D68" w:rsidP="00A94D68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>Для расчётов показателей эффективно</w:t>
      </w:r>
      <w:r>
        <w:rPr>
          <w:rFonts w:ascii="Times New Roman" w:hAnsi="Times New Roman"/>
          <w:sz w:val="28"/>
          <w:szCs w:val="28"/>
        </w:rPr>
        <w:t xml:space="preserve">сти проекта используем таблицу.5 </w:t>
      </w:r>
      <w:r w:rsidRPr="00C4760F">
        <w:rPr>
          <w:rFonts w:ascii="Times New Roman" w:hAnsi="Times New Roman"/>
          <w:sz w:val="28"/>
          <w:szCs w:val="28"/>
        </w:rPr>
        <w:t>по годам</w:t>
      </w:r>
    </w:p>
    <w:p w:rsidR="00A94D68" w:rsidRDefault="00A94D68" w:rsidP="00A94D68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</w:p>
    <w:p w:rsidR="00A94D68" w:rsidRPr="00C4760F" w:rsidRDefault="00A94D68" w:rsidP="00A94D68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 xml:space="preserve">5 - </w:t>
      </w:r>
      <w:r w:rsidRPr="00C4760F">
        <w:rPr>
          <w:rFonts w:ascii="Times New Roman" w:hAnsi="Times New Roman"/>
          <w:sz w:val="28"/>
          <w:szCs w:val="28"/>
        </w:rPr>
        <w:t>Итоговые показатели поступлений и расходов в 201</w:t>
      </w:r>
      <w:r>
        <w:rPr>
          <w:rFonts w:ascii="Times New Roman" w:hAnsi="Times New Roman"/>
          <w:sz w:val="28"/>
          <w:szCs w:val="28"/>
        </w:rPr>
        <w:t>4</w:t>
      </w:r>
      <w:r w:rsidRPr="00C4760F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C4760F">
        <w:rPr>
          <w:rFonts w:ascii="Times New Roman" w:hAnsi="Times New Roman"/>
          <w:sz w:val="28"/>
          <w:szCs w:val="28"/>
        </w:rPr>
        <w:t xml:space="preserve"> гг. (данные в</w:t>
      </w:r>
      <w:r w:rsidR="009C116C">
        <w:rPr>
          <w:rFonts w:ascii="Times New Roman" w:hAnsi="Times New Roman"/>
          <w:sz w:val="28"/>
          <w:szCs w:val="28"/>
        </w:rPr>
        <w:t xml:space="preserve"> </w:t>
      </w:r>
      <w:r w:rsidRPr="00C4760F">
        <w:rPr>
          <w:rFonts w:ascii="Times New Roman" w:hAnsi="Times New Roman"/>
          <w:sz w:val="28"/>
          <w:szCs w:val="28"/>
        </w:rPr>
        <w:t>руб.)</w:t>
      </w:r>
    </w:p>
    <w:tbl>
      <w:tblPr>
        <w:tblW w:w="7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7"/>
        <w:gridCol w:w="1100"/>
        <w:gridCol w:w="1056"/>
        <w:gridCol w:w="1056"/>
        <w:gridCol w:w="1056"/>
      </w:tblGrid>
      <w:tr w:rsidR="00A94D68" w:rsidRPr="00C4760F" w:rsidTr="0066520D">
        <w:trPr>
          <w:trHeight w:val="315"/>
          <w:jc w:val="center"/>
        </w:trPr>
        <w:tc>
          <w:tcPr>
            <w:tcW w:w="3617" w:type="dxa"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760F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Показатель/год</w:t>
            </w:r>
          </w:p>
        </w:tc>
        <w:tc>
          <w:tcPr>
            <w:tcW w:w="1100" w:type="dxa"/>
            <w:hideMark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760F">
              <w:rPr>
                <w:rFonts w:ascii="Times New Roman" w:hAnsi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056" w:type="dxa"/>
            <w:noWrap/>
            <w:hideMark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760F">
              <w:rPr>
                <w:rFonts w:ascii="Times New Roman" w:hAnsi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056" w:type="dxa"/>
            <w:noWrap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056" w:type="dxa"/>
            <w:noWrap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2017</w:t>
            </w:r>
          </w:p>
        </w:tc>
      </w:tr>
      <w:tr w:rsidR="00A94D68" w:rsidRPr="00C4760F" w:rsidTr="0066520D">
        <w:trPr>
          <w:trHeight w:val="315"/>
          <w:jc w:val="center"/>
        </w:trPr>
        <w:tc>
          <w:tcPr>
            <w:tcW w:w="3617" w:type="dxa"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760F">
              <w:rPr>
                <w:rFonts w:ascii="Times New Roman" w:hAnsi="Times New Roman"/>
                <w:sz w:val="28"/>
                <w:szCs w:val="28"/>
                <w:lang w:eastAsia="ru-RU"/>
              </w:rPr>
              <w:t>Поступления</w:t>
            </w:r>
          </w:p>
        </w:tc>
        <w:tc>
          <w:tcPr>
            <w:tcW w:w="1100" w:type="dxa"/>
            <w:hideMark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760F">
              <w:rPr>
                <w:rFonts w:ascii="Times New Roman" w:hAnsi="Times New Roman"/>
                <w:sz w:val="28"/>
                <w:szCs w:val="28"/>
                <w:lang w:eastAsia="ru-RU"/>
              </w:rPr>
              <w:t>42600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760F">
              <w:rPr>
                <w:rFonts w:ascii="Times New Roman" w:hAnsi="Times New Roman"/>
                <w:sz w:val="28"/>
                <w:szCs w:val="28"/>
                <w:lang w:eastAsia="ru-RU"/>
              </w:rPr>
              <w:t>87000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A94D68" w:rsidRPr="003B7579" w:rsidRDefault="00A94D68" w:rsidP="0066520D">
            <w:pPr>
              <w:pStyle w:val="a5"/>
              <w:rPr>
                <w:rFonts w:ascii="Times New Roman" w:hAnsi="Times New Roman"/>
                <w:szCs w:val="24"/>
                <w:lang w:eastAsia="ru-RU"/>
              </w:rPr>
            </w:pPr>
            <w:r w:rsidRPr="003B7579">
              <w:rPr>
                <w:rFonts w:ascii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Cs w:val="24"/>
                <w:lang w:eastAsia="ru-RU"/>
              </w:rPr>
              <w:t>49</w:t>
            </w:r>
            <w:r w:rsidRPr="003B7579">
              <w:rPr>
                <w:rFonts w:ascii="Times New Roman" w:hAnsi="Times New Roman"/>
                <w:szCs w:val="24"/>
                <w:lang w:eastAsia="ru-RU"/>
              </w:rPr>
              <w:t>200</w:t>
            </w:r>
            <w:r>
              <w:rPr>
                <w:rFonts w:ascii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A94D68" w:rsidRPr="003B7579" w:rsidRDefault="00A94D68" w:rsidP="0066520D">
            <w:pPr>
              <w:pStyle w:val="a5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21</w:t>
            </w:r>
            <w:r w:rsidRPr="003B7579">
              <w:rPr>
                <w:rFonts w:ascii="Times New Roman" w:hAnsi="Times New Roman"/>
                <w:szCs w:val="24"/>
                <w:lang w:eastAsia="ru-RU"/>
              </w:rPr>
              <w:t>0300</w:t>
            </w:r>
            <w:r>
              <w:rPr>
                <w:rFonts w:ascii="Times New Roman" w:hAnsi="Times New Roman"/>
                <w:szCs w:val="24"/>
                <w:lang w:eastAsia="ru-RU"/>
              </w:rPr>
              <w:t>0</w:t>
            </w:r>
          </w:p>
        </w:tc>
      </w:tr>
      <w:tr w:rsidR="00A94D68" w:rsidRPr="00C4760F" w:rsidTr="0066520D">
        <w:trPr>
          <w:trHeight w:val="315"/>
          <w:jc w:val="center"/>
        </w:trPr>
        <w:tc>
          <w:tcPr>
            <w:tcW w:w="3617" w:type="dxa"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760F">
              <w:rPr>
                <w:rFonts w:ascii="Times New Roman" w:hAnsi="Times New Roman"/>
                <w:sz w:val="28"/>
                <w:szCs w:val="28"/>
                <w:lang w:eastAsia="ru-RU"/>
              </w:rPr>
              <w:t>Затраты (в том числе налоги и амортизационные отчисления)</w:t>
            </w:r>
          </w:p>
        </w:tc>
        <w:tc>
          <w:tcPr>
            <w:tcW w:w="1100" w:type="dxa"/>
            <w:hideMark/>
          </w:tcPr>
          <w:p w:rsidR="00A94D68" w:rsidRPr="003B7579" w:rsidRDefault="00A94D68" w:rsidP="0066520D">
            <w:pPr>
              <w:pStyle w:val="a5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365500</w:t>
            </w:r>
          </w:p>
        </w:tc>
        <w:tc>
          <w:tcPr>
            <w:tcW w:w="1056" w:type="dxa"/>
            <w:noWrap/>
            <w:hideMark/>
          </w:tcPr>
          <w:p w:rsidR="00A94D68" w:rsidRPr="003B7579" w:rsidRDefault="00A94D68" w:rsidP="0066520D">
            <w:pPr>
              <w:pStyle w:val="a5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65220</w:t>
            </w:r>
          </w:p>
        </w:tc>
        <w:tc>
          <w:tcPr>
            <w:tcW w:w="1056" w:type="dxa"/>
            <w:noWrap/>
            <w:hideMark/>
          </w:tcPr>
          <w:p w:rsidR="00A94D68" w:rsidRPr="003B7579" w:rsidRDefault="00A94D68" w:rsidP="0066520D">
            <w:pPr>
              <w:pStyle w:val="a5"/>
              <w:rPr>
                <w:rFonts w:ascii="Times New Roman" w:hAnsi="Times New Roman"/>
                <w:szCs w:val="24"/>
                <w:lang w:eastAsia="ru-RU"/>
              </w:rPr>
            </w:pPr>
            <w:r w:rsidRPr="003B7579">
              <w:rPr>
                <w:rFonts w:ascii="Times New Roman" w:hAnsi="Times New Roman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Cs w:val="24"/>
                <w:lang w:eastAsia="ru-RU"/>
              </w:rPr>
              <w:t>00</w:t>
            </w:r>
            <w:r w:rsidRPr="003B7579">
              <w:rPr>
                <w:rFonts w:ascii="Times New Roman" w:hAnsi="Times New Roman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A94D68" w:rsidRPr="003B7579" w:rsidRDefault="00A94D68" w:rsidP="0066520D">
            <w:pPr>
              <w:pStyle w:val="a5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1198000</w:t>
            </w:r>
          </w:p>
        </w:tc>
      </w:tr>
      <w:tr w:rsidR="00A94D68" w:rsidRPr="00C4760F" w:rsidTr="0066520D">
        <w:trPr>
          <w:trHeight w:val="315"/>
          <w:jc w:val="center"/>
        </w:trPr>
        <w:tc>
          <w:tcPr>
            <w:tcW w:w="3617" w:type="dxa"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760F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100" w:type="dxa"/>
            <w:hideMark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60500</w:t>
            </w:r>
          </w:p>
        </w:tc>
        <w:tc>
          <w:tcPr>
            <w:tcW w:w="1056" w:type="dxa"/>
            <w:noWrap/>
            <w:hideMark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217800</w:t>
            </w:r>
          </w:p>
        </w:tc>
        <w:tc>
          <w:tcPr>
            <w:tcW w:w="1056" w:type="dxa"/>
            <w:noWrap/>
            <w:hideMark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592000</w:t>
            </w:r>
          </w:p>
        </w:tc>
        <w:tc>
          <w:tcPr>
            <w:tcW w:w="1056" w:type="dxa"/>
            <w:noWrap/>
            <w:hideMark/>
          </w:tcPr>
          <w:p w:rsidR="00A94D68" w:rsidRPr="00C4760F" w:rsidRDefault="00A94D68" w:rsidP="0066520D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905000</w:t>
            </w:r>
          </w:p>
        </w:tc>
      </w:tr>
    </w:tbl>
    <w:p w:rsidR="000E5BC9" w:rsidRDefault="000E5BC9" w:rsidP="00A94D68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94D68" w:rsidRPr="00C4760F" w:rsidRDefault="00A94D68" w:rsidP="00A94D68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 xml:space="preserve">Чистая текущая стоимость проекта (NPV) - представляет собой суммарный доход от проекта, дисконтированный с учетом временной стоимости денег. </w:t>
      </w:r>
    </w:p>
    <w:p w:rsidR="00A94D68" w:rsidRPr="00C4760F" w:rsidRDefault="00A94D68" w:rsidP="00A94D68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>Показатель NPV рассчитывался при ставке дисконтирования 1</w:t>
      </w:r>
      <w:r>
        <w:rPr>
          <w:rFonts w:ascii="Times New Roman" w:hAnsi="Times New Roman"/>
          <w:sz w:val="28"/>
          <w:szCs w:val="28"/>
        </w:rPr>
        <w:t xml:space="preserve">1 </w:t>
      </w:r>
      <w:r w:rsidRPr="00C4760F">
        <w:rPr>
          <w:rFonts w:ascii="Times New Roman" w:hAnsi="Times New Roman"/>
          <w:sz w:val="28"/>
          <w:szCs w:val="28"/>
        </w:rPr>
        <w:t>% в год. Положительное значение NPV свидетельствует о превышении прибыльности проекта над нормой дисконта.</w:t>
      </w:r>
    </w:p>
    <w:p w:rsidR="00A94D68" w:rsidRPr="00657222" w:rsidRDefault="00A94D68" w:rsidP="00A94D68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222">
        <w:rPr>
          <w:rFonts w:ascii="Times New Roman" w:hAnsi="Times New Roman"/>
          <w:sz w:val="28"/>
          <w:szCs w:val="28"/>
        </w:rPr>
        <w:t xml:space="preserve">Метод чистой приведенной стоимости основан на сопоставлении величины исходной инвестиции (IC) с общей суммой дисконтированных чистых денежных поступлений, генерируемых ею в течение прогнозируемого срока. Поскольку приток денежных средств распределен во времени, он дисконтируется с помощью коэффициента r, устанавливаемого аналитиком (инвестором) самостоятельно исходя из ежегодного процента возврата, который он хочет или может иметь на инвестируемый им капитал. </w:t>
      </w:r>
    </w:p>
    <w:p w:rsidR="00A94D68" w:rsidRPr="00C4760F" w:rsidRDefault="00A94D68" w:rsidP="00A94D68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 xml:space="preserve">Внутренняя норма доходности на полные инвестиционные затраты (IRR) - представляет собой годовую норму чистых наличных поступлений в процессе реализации проекта, то есть представляет собой ту ставку дисконтирования, при которой величина чистого дисконтированного дохода </w:t>
      </w:r>
      <w:r w:rsidRPr="00C4760F">
        <w:rPr>
          <w:rFonts w:ascii="Times New Roman" w:hAnsi="Times New Roman"/>
          <w:sz w:val="28"/>
          <w:szCs w:val="28"/>
        </w:rPr>
        <w:lastRenderedPageBreak/>
        <w:t xml:space="preserve">(NPV) равна нулю. Экономический смысл внутренней нормы доходности состоит в том, что это такая норма доходности инвестиций, при которой предприятию одинаково эффективно инвестировать свой капитал под IRR процентов в какие-либо финансовые инструменты. </w:t>
      </w:r>
    </w:p>
    <w:p w:rsidR="00A94D68" w:rsidRPr="00657222" w:rsidRDefault="00A94D68" w:rsidP="00A94D68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222">
        <w:rPr>
          <w:rFonts w:ascii="Times New Roman" w:hAnsi="Times New Roman"/>
          <w:sz w:val="28"/>
          <w:szCs w:val="28"/>
        </w:rPr>
        <w:t xml:space="preserve">Инвестиции (IC) будет генерировать в течение n лет, годовые доходы в размере P1, P2, ..., Рn. Чистый приведенный эффект (NPV) соответственно рассчитываются по формулам: </w:t>
      </w:r>
    </w:p>
    <w:p w:rsidR="00A94D68" w:rsidRDefault="00A94D68" w:rsidP="00A94D68">
      <w:pPr>
        <w:pStyle w:val="a5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40E9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742FAFE" wp14:editId="7FA3A568">
            <wp:extent cx="1247775" cy="381000"/>
            <wp:effectExtent l="0" t="0" r="9525" b="0"/>
            <wp:docPr id="2" name="Рисунок 2" descr="http://www.bupr.ru/img/nv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bupr.ru/img/nvp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D68" w:rsidRPr="00657222" w:rsidRDefault="00A94D68" w:rsidP="00A94D68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657222">
        <w:rPr>
          <w:rFonts w:ascii="Times New Roman" w:hAnsi="Times New Roman"/>
          <w:sz w:val="28"/>
          <w:szCs w:val="28"/>
        </w:rPr>
        <w:t>Если проект предполагает не разовую инвестицию, а последовательное инвестирование финансовых ресурсов в течение m лет, то формула для расчета NPV мо</w:t>
      </w:r>
      <w:r>
        <w:rPr>
          <w:rFonts w:ascii="Times New Roman" w:hAnsi="Times New Roman"/>
          <w:sz w:val="28"/>
          <w:szCs w:val="28"/>
        </w:rPr>
        <w:t>дифицируется следующим образом:</w:t>
      </w:r>
    </w:p>
    <w:p w:rsidR="00A94D68" w:rsidRPr="00657222" w:rsidRDefault="00A94D68" w:rsidP="00A94D68">
      <w:pPr>
        <w:pStyle w:val="a5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40E9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40D7D65" wp14:editId="549053D9">
            <wp:extent cx="1495425" cy="428625"/>
            <wp:effectExtent l="0" t="0" r="9525" b="9525"/>
            <wp:docPr id="1" name="Рисунок 1" descr="http://www.bupr.ru/img/nv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bupr.ru/img/nvp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D68" w:rsidRPr="00657222" w:rsidRDefault="00A94D68" w:rsidP="00A94D68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57222">
        <w:rPr>
          <w:rFonts w:ascii="Times New Roman" w:hAnsi="Times New Roman"/>
          <w:sz w:val="28"/>
          <w:szCs w:val="28"/>
        </w:rPr>
        <w:t xml:space="preserve">где i — прогнозируемый средний уровень инфляции. </w:t>
      </w:r>
    </w:p>
    <w:p w:rsidR="00A94D68" w:rsidRPr="00C4760F" w:rsidRDefault="00A94D68" w:rsidP="00A94D68">
      <w:pPr>
        <w:pStyle w:val="a5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 xml:space="preserve">6 - </w:t>
      </w:r>
      <w:r w:rsidRPr="00C4760F">
        <w:rPr>
          <w:rFonts w:ascii="Times New Roman" w:hAnsi="Times New Roman"/>
          <w:sz w:val="28"/>
          <w:szCs w:val="28"/>
        </w:rPr>
        <w:t>Расчет коммерческой эффективности проекта</w:t>
      </w:r>
    </w:p>
    <w:tbl>
      <w:tblPr>
        <w:tblW w:w="86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134"/>
        <w:gridCol w:w="992"/>
        <w:gridCol w:w="992"/>
        <w:gridCol w:w="993"/>
        <w:gridCol w:w="992"/>
      </w:tblGrid>
      <w:tr w:rsidR="00A94D68" w:rsidRPr="003A09DF" w:rsidTr="0066520D">
        <w:trPr>
          <w:trHeight w:val="216"/>
          <w:jc w:val="center"/>
        </w:trPr>
        <w:tc>
          <w:tcPr>
            <w:tcW w:w="3528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Параметры</w:t>
            </w:r>
          </w:p>
        </w:tc>
        <w:tc>
          <w:tcPr>
            <w:tcW w:w="1134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2013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2014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2015</w:t>
            </w:r>
          </w:p>
        </w:tc>
        <w:tc>
          <w:tcPr>
            <w:tcW w:w="993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2017</w:t>
            </w:r>
          </w:p>
        </w:tc>
      </w:tr>
      <w:tr w:rsidR="00A94D68" w:rsidRPr="003A09DF" w:rsidTr="0066520D">
        <w:trPr>
          <w:trHeight w:val="250"/>
          <w:jc w:val="center"/>
        </w:trPr>
        <w:tc>
          <w:tcPr>
            <w:tcW w:w="3528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Поступления</w:t>
            </w:r>
          </w:p>
        </w:tc>
        <w:tc>
          <w:tcPr>
            <w:tcW w:w="1134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426000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870000</w:t>
            </w:r>
          </w:p>
        </w:tc>
        <w:tc>
          <w:tcPr>
            <w:tcW w:w="993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1492000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2103000</w:t>
            </w:r>
          </w:p>
        </w:tc>
      </w:tr>
      <w:tr w:rsidR="00A94D68" w:rsidRPr="003A09DF" w:rsidTr="0066520D">
        <w:trPr>
          <w:trHeight w:val="250"/>
          <w:jc w:val="center"/>
        </w:trPr>
        <w:tc>
          <w:tcPr>
            <w:tcW w:w="3528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Затраты</w:t>
            </w:r>
          </w:p>
        </w:tc>
        <w:tc>
          <w:tcPr>
            <w:tcW w:w="1134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365500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652200</w:t>
            </w:r>
          </w:p>
        </w:tc>
        <w:tc>
          <w:tcPr>
            <w:tcW w:w="993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900000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119800</w:t>
            </w:r>
          </w:p>
        </w:tc>
      </w:tr>
      <w:tr w:rsidR="00A94D68" w:rsidRPr="003A09DF" w:rsidTr="0066520D">
        <w:trPr>
          <w:trHeight w:val="250"/>
          <w:jc w:val="center"/>
        </w:trPr>
        <w:tc>
          <w:tcPr>
            <w:tcW w:w="3528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Инвестиции</w:t>
            </w:r>
          </w:p>
        </w:tc>
        <w:tc>
          <w:tcPr>
            <w:tcW w:w="1134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297000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201000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48000</w:t>
            </w:r>
          </w:p>
        </w:tc>
        <w:tc>
          <w:tcPr>
            <w:tcW w:w="993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48000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48000</w:t>
            </w:r>
          </w:p>
        </w:tc>
      </w:tr>
      <w:tr w:rsidR="00A94D68" w:rsidRPr="003A09DF" w:rsidTr="0066520D">
        <w:trPr>
          <w:trHeight w:val="250"/>
          <w:jc w:val="center"/>
        </w:trPr>
        <w:tc>
          <w:tcPr>
            <w:tcW w:w="3528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Итого поток</w:t>
            </w:r>
          </w:p>
        </w:tc>
        <w:tc>
          <w:tcPr>
            <w:tcW w:w="1134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(297000)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(140500)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169800</w:t>
            </w:r>
          </w:p>
        </w:tc>
        <w:tc>
          <w:tcPr>
            <w:tcW w:w="993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544000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3A09DF">
              <w:rPr>
                <w:rFonts w:ascii="Times New Roman" w:hAnsi="Times New Roman"/>
                <w:lang w:eastAsia="ru-RU"/>
              </w:rPr>
              <w:t>857000</w:t>
            </w:r>
          </w:p>
        </w:tc>
      </w:tr>
      <w:tr w:rsidR="00A94D68" w:rsidRPr="003A09DF" w:rsidTr="0066520D">
        <w:trPr>
          <w:trHeight w:val="250"/>
          <w:jc w:val="center"/>
        </w:trPr>
        <w:tc>
          <w:tcPr>
            <w:tcW w:w="3528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Коэффициент дисконтирования</w:t>
            </w:r>
          </w:p>
        </w:tc>
        <w:tc>
          <w:tcPr>
            <w:tcW w:w="1134" w:type="dxa"/>
          </w:tcPr>
          <w:p w:rsidR="00A94D68" w:rsidRPr="003A09DF" w:rsidRDefault="00A94D68" w:rsidP="0066520D">
            <w:r w:rsidRPr="003A09DF">
              <w:t>1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1,11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1,2321</w:t>
            </w:r>
          </w:p>
        </w:tc>
        <w:tc>
          <w:tcPr>
            <w:tcW w:w="993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1,3676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1,5181</w:t>
            </w:r>
          </w:p>
        </w:tc>
      </w:tr>
      <w:tr w:rsidR="00A94D68" w:rsidRPr="003A09DF" w:rsidTr="0066520D">
        <w:trPr>
          <w:trHeight w:val="250"/>
          <w:jc w:val="center"/>
        </w:trPr>
        <w:tc>
          <w:tcPr>
            <w:tcW w:w="3528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 xml:space="preserve">Дисконт, поток </w:t>
            </w:r>
          </w:p>
        </w:tc>
        <w:tc>
          <w:tcPr>
            <w:tcW w:w="1134" w:type="dxa"/>
          </w:tcPr>
          <w:p w:rsidR="00A94D68" w:rsidRPr="003A09DF" w:rsidRDefault="00A94D68" w:rsidP="0066520D">
            <w:r w:rsidRPr="003A09DF">
              <w:t>(297000)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(126580)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137810</w:t>
            </w:r>
          </w:p>
        </w:tc>
        <w:tc>
          <w:tcPr>
            <w:tcW w:w="993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397780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564520</w:t>
            </w:r>
          </w:p>
        </w:tc>
      </w:tr>
      <w:tr w:rsidR="00A94D68" w:rsidRPr="003A09DF" w:rsidTr="0066520D">
        <w:trPr>
          <w:trHeight w:val="250"/>
          <w:jc w:val="center"/>
        </w:trPr>
        <w:tc>
          <w:tcPr>
            <w:tcW w:w="3528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Дисконт, поток нарастающим</w:t>
            </w:r>
            <w:r w:rsidR="009C116C">
              <w:rPr>
                <w:rFonts w:ascii="Times New Roman" w:hAnsi="Times New Roman"/>
              </w:rPr>
              <w:t xml:space="preserve"> </w:t>
            </w:r>
            <w:r w:rsidRPr="003A09DF">
              <w:rPr>
                <w:rFonts w:ascii="Times New Roman" w:hAnsi="Times New Roman"/>
              </w:rPr>
              <w:t xml:space="preserve">итогом </w:t>
            </w:r>
            <w:r w:rsidRPr="003A09DF">
              <w:rPr>
                <w:rFonts w:ascii="Times New Roman" w:hAnsi="Times New Roman"/>
                <w:b/>
              </w:rPr>
              <w:t>(NPV)</w:t>
            </w:r>
          </w:p>
        </w:tc>
        <w:tc>
          <w:tcPr>
            <w:tcW w:w="1134" w:type="dxa"/>
          </w:tcPr>
          <w:p w:rsidR="00A94D68" w:rsidRPr="003A09DF" w:rsidRDefault="00A94D68" w:rsidP="0066520D">
            <w:r w:rsidRPr="003A09DF">
              <w:t>(297000)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(423580)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(285770)</w:t>
            </w:r>
          </w:p>
        </w:tc>
        <w:tc>
          <w:tcPr>
            <w:tcW w:w="993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112110</w:t>
            </w:r>
          </w:p>
        </w:tc>
        <w:tc>
          <w:tcPr>
            <w:tcW w:w="992" w:type="dxa"/>
          </w:tcPr>
          <w:p w:rsidR="00A94D68" w:rsidRPr="003A09DF" w:rsidRDefault="00A94D68" w:rsidP="0066520D">
            <w:pPr>
              <w:pStyle w:val="a5"/>
              <w:jc w:val="both"/>
              <w:rPr>
                <w:rFonts w:ascii="Times New Roman" w:hAnsi="Times New Roman"/>
              </w:rPr>
            </w:pPr>
            <w:r w:rsidRPr="003A09DF">
              <w:rPr>
                <w:rFonts w:ascii="Times New Roman" w:hAnsi="Times New Roman"/>
              </w:rPr>
              <w:t>676630</w:t>
            </w:r>
          </w:p>
        </w:tc>
      </w:tr>
    </w:tbl>
    <w:p w:rsidR="00A94D68" w:rsidRPr="00C4760F" w:rsidRDefault="00A94D68" w:rsidP="00A94D68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4D68" w:rsidRPr="00FA4191" w:rsidRDefault="00A94D68" w:rsidP="00A94D68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4191">
        <w:rPr>
          <w:rFonts w:ascii="Times New Roman" w:hAnsi="Times New Roman"/>
          <w:sz w:val="28"/>
          <w:szCs w:val="28"/>
        </w:rPr>
        <w:t xml:space="preserve">Под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FA4191">
        <w:rPr>
          <w:rFonts w:ascii="Times New Roman" w:hAnsi="Times New Roman"/>
          <w:b/>
          <w:bCs/>
          <w:sz w:val="28"/>
          <w:szCs w:val="28"/>
        </w:rPr>
        <w:t>нутренней доходностью (нормой рентабельности инвестиции) (IRR)</w:t>
      </w:r>
      <w:r w:rsidRPr="00FA4191">
        <w:rPr>
          <w:rFonts w:ascii="Times New Roman" w:hAnsi="Times New Roman"/>
          <w:sz w:val="28"/>
          <w:szCs w:val="28"/>
        </w:rPr>
        <w:t xml:space="preserve">понимают значение коэффициента дисконтирования, при котором </w:t>
      </w:r>
      <w:r w:rsidRPr="00FA4191">
        <w:rPr>
          <w:rFonts w:ascii="Times New Roman" w:hAnsi="Times New Roman"/>
          <w:b/>
          <w:bCs/>
          <w:sz w:val="28"/>
          <w:szCs w:val="28"/>
        </w:rPr>
        <w:t>NPV</w:t>
      </w:r>
      <w:r w:rsidRPr="00FA4191">
        <w:rPr>
          <w:rFonts w:ascii="Times New Roman" w:hAnsi="Times New Roman"/>
          <w:sz w:val="28"/>
          <w:szCs w:val="28"/>
        </w:rPr>
        <w:t xml:space="preserve"> проекта равен нулю: </w:t>
      </w:r>
    </w:p>
    <w:p w:rsidR="00A94D68" w:rsidRDefault="00A94D68" w:rsidP="00A94D68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4191">
        <w:rPr>
          <w:rFonts w:ascii="Times New Roman" w:hAnsi="Times New Roman"/>
          <w:b/>
          <w:bCs/>
          <w:sz w:val="28"/>
          <w:szCs w:val="28"/>
        </w:rPr>
        <w:t>IRR</w:t>
      </w:r>
      <w:r w:rsidRPr="003B7579">
        <w:rPr>
          <w:rFonts w:ascii="Times New Roman" w:hAnsi="Times New Roman"/>
          <w:b/>
          <w:bCs/>
          <w:sz w:val="28"/>
          <w:szCs w:val="28"/>
        </w:rPr>
        <w:t xml:space="preserve"> = </w:t>
      </w:r>
      <w:r w:rsidRPr="00FA4191">
        <w:rPr>
          <w:rFonts w:ascii="Times New Roman" w:hAnsi="Times New Roman"/>
          <w:b/>
          <w:bCs/>
          <w:sz w:val="28"/>
          <w:szCs w:val="28"/>
        </w:rPr>
        <w:t>r</w:t>
      </w:r>
      <w:r w:rsidRPr="003B7579">
        <w:rPr>
          <w:rFonts w:ascii="Times New Roman" w:hAnsi="Times New Roman"/>
          <w:b/>
          <w:bCs/>
          <w:sz w:val="28"/>
          <w:szCs w:val="28"/>
        </w:rPr>
        <w:t xml:space="preserve">, при котором </w:t>
      </w:r>
      <w:r w:rsidRPr="00FA4191">
        <w:rPr>
          <w:rFonts w:ascii="Times New Roman" w:hAnsi="Times New Roman"/>
          <w:b/>
          <w:bCs/>
          <w:sz w:val="28"/>
          <w:szCs w:val="28"/>
        </w:rPr>
        <w:t>NPV</w:t>
      </w:r>
      <w:r w:rsidRPr="003B7579">
        <w:rPr>
          <w:rFonts w:ascii="Times New Roman" w:hAnsi="Times New Roman"/>
          <w:b/>
          <w:bCs/>
          <w:sz w:val="28"/>
          <w:szCs w:val="28"/>
        </w:rPr>
        <w:t xml:space="preserve"> = </w:t>
      </w:r>
      <w:r w:rsidRPr="00FA4191">
        <w:rPr>
          <w:rFonts w:ascii="Times New Roman" w:hAnsi="Times New Roman"/>
          <w:b/>
          <w:bCs/>
          <w:sz w:val="28"/>
          <w:szCs w:val="28"/>
        </w:rPr>
        <w:t>f</w:t>
      </w:r>
      <w:r w:rsidRPr="003B7579">
        <w:rPr>
          <w:rFonts w:ascii="Times New Roman" w:hAnsi="Times New Roman"/>
          <w:b/>
          <w:bCs/>
          <w:sz w:val="28"/>
          <w:szCs w:val="28"/>
        </w:rPr>
        <w:t>(</w:t>
      </w:r>
      <w:r w:rsidRPr="00FA4191">
        <w:rPr>
          <w:rFonts w:ascii="Times New Roman" w:hAnsi="Times New Roman"/>
          <w:b/>
          <w:bCs/>
          <w:sz w:val="28"/>
          <w:szCs w:val="28"/>
        </w:rPr>
        <w:t>r</w:t>
      </w:r>
      <w:r w:rsidRPr="003B7579">
        <w:rPr>
          <w:rFonts w:ascii="Times New Roman" w:hAnsi="Times New Roman"/>
          <w:b/>
          <w:bCs/>
          <w:sz w:val="28"/>
          <w:szCs w:val="28"/>
        </w:rPr>
        <w:t>) = 0.</w:t>
      </w:r>
      <w:r w:rsidRPr="003B7579">
        <w:rPr>
          <w:rFonts w:ascii="Times New Roman" w:hAnsi="Times New Roman"/>
          <w:sz w:val="28"/>
          <w:szCs w:val="28"/>
        </w:rPr>
        <w:t xml:space="preserve"> </w:t>
      </w:r>
    </w:p>
    <w:p w:rsidR="00A94D68" w:rsidRDefault="00A94D68" w:rsidP="00A94D68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Подставляя значения потока:</w:t>
      </w:r>
    </w:p>
    <w:p w:rsidR="00A94D68" w:rsidRPr="00C66951" w:rsidRDefault="00A94D68" w:rsidP="00A94D68">
      <w:pPr>
        <w:pStyle w:val="a5"/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C66951">
        <w:rPr>
          <w:rFonts w:ascii="Times New Roman" w:hAnsi="Times New Roman"/>
          <w:szCs w:val="24"/>
        </w:rPr>
        <w:t>-2970</w:t>
      </w:r>
      <w:r>
        <w:rPr>
          <w:rFonts w:ascii="Times New Roman" w:hAnsi="Times New Roman"/>
          <w:szCs w:val="24"/>
        </w:rPr>
        <w:t>0</w:t>
      </w:r>
      <w:r w:rsidRPr="00C66951">
        <w:rPr>
          <w:rFonts w:ascii="Times New Roman" w:hAnsi="Times New Roman"/>
          <w:szCs w:val="24"/>
        </w:rPr>
        <w:t>0:(1+IRR)</w:t>
      </w:r>
      <w:r w:rsidRPr="00C66951">
        <w:rPr>
          <w:rFonts w:ascii="Times New Roman" w:hAnsi="Times New Roman"/>
          <w:szCs w:val="24"/>
          <w:vertAlign w:val="superscript"/>
        </w:rPr>
        <w:t>0</w:t>
      </w:r>
      <w:r w:rsidRPr="00C66951">
        <w:rPr>
          <w:rFonts w:ascii="Times New Roman" w:hAnsi="Times New Roman"/>
          <w:szCs w:val="24"/>
        </w:rPr>
        <w:t>12658</w:t>
      </w:r>
      <w:r>
        <w:rPr>
          <w:rFonts w:ascii="Times New Roman" w:hAnsi="Times New Roman"/>
          <w:szCs w:val="24"/>
        </w:rPr>
        <w:t>0</w:t>
      </w:r>
      <w:r w:rsidRPr="00C66951">
        <w:rPr>
          <w:rFonts w:ascii="Times New Roman" w:hAnsi="Times New Roman"/>
          <w:szCs w:val="24"/>
        </w:rPr>
        <w:t>:(1+IRR)</w:t>
      </w:r>
      <w:r w:rsidRPr="00C66951">
        <w:rPr>
          <w:rFonts w:ascii="Times New Roman" w:hAnsi="Times New Roman"/>
          <w:szCs w:val="24"/>
          <w:vertAlign w:val="superscript"/>
        </w:rPr>
        <w:t>1</w:t>
      </w:r>
      <w:r w:rsidRPr="00C66951">
        <w:rPr>
          <w:rFonts w:ascii="Times New Roman" w:hAnsi="Times New Roman"/>
          <w:szCs w:val="24"/>
        </w:rPr>
        <w:t>+13781</w:t>
      </w:r>
      <w:r>
        <w:rPr>
          <w:rFonts w:ascii="Times New Roman" w:hAnsi="Times New Roman"/>
          <w:szCs w:val="24"/>
        </w:rPr>
        <w:t>0</w:t>
      </w:r>
      <w:r w:rsidRPr="00C66951">
        <w:rPr>
          <w:rFonts w:ascii="Times New Roman" w:hAnsi="Times New Roman"/>
          <w:szCs w:val="24"/>
        </w:rPr>
        <w:t>:(1+IRR)</w:t>
      </w:r>
      <w:r w:rsidRPr="00C66951">
        <w:rPr>
          <w:rFonts w:ascii="Times New Roman" w:hAnsi="Times New Roman"/>
          <w:szCs w:val="24"/>
          <w:vertAlign w:val="superscript"/>
        </w:rPr>
        <w:t>2</w:t>
      </w:r>
      <w:r w:rsidRPr="00C66951">
        <w:rPr>
          <w:rFonts w:ascii="Times New Roman" w:hAnsi="Times New Roman"/>
          <w:szCs w:val="24"/>
        </w:rPr>
        <w:t>+39778</w:t>
      </w:r>
      <w:r>
        <w:rPr>
          <w:rFonts w:ascii="Times New Roman" w:hAnsi="Times New Roman"/>
          <w:szCs w:val="24"/>
        </w:rPr>
        <w:t>0</w:t>
      </w:r>
      <w:r w:rsidRPr="00C66951">
        <w:rPr>
          <w:rFonts w:ascii="Times New Roman" w:hAnsi="Times New Roman"/>
          <w:szCs w:val="24"/>
        </w:rPr>
        <w:t>:(1+IRR)</w:t>
      </w:r>
      <w:r w:rsidRPr="00C66951">
        <w:rPr>
          <w:rFonts w:ascii="Times New Roman" w:hAnsi="Times New Roman"/>
          <w:szCs w:val="24"/>
          <w:vertAlign w:val="superscript"/>
        </w:rPr>
        <w:t>3</w:t>
      </w:r>
      <w:r w:rsidRPr="00C66951">
        <w:rPr>
          <w:rFonts w:ascii="Times New Roman" w:hAnsi="Times New Roman"/>
          <w:szCs w:val="24"/>
        </w:rPr>
        <w:t>+56452</w:t>
      </w:r>
      <w:r>
        <w:rPr>
          <w:rFonts w:ascii="Times New Roman" w:hAnsi="Times New Roman"/>
          <w:szCs w:val="24"/>
        </w:rPr>
        <w:t>0</w:t>
      </w:r>
      <w:r w:rsidRPr="00C66951">
        <w:rPr>
          <w:rFonts w:ascii="Times New Roman" w:hAnsi="Times New Roman"/>
          <w:szCs w:val="24"/>
        </w:rPr>
        <w:t>:(1+IRR)</w:t>
      </w:r>
      <w:r w:rsidRPr="00C66951">
        <w:rPr>
          <w:rFonts w:ascii="Times New Roman" w:hAnsi="Times New Roman"/>
          <w:szCs w:val="24"/>
          <w:vertAlign w:val="superscript"/>
        </w:rPr>
        <w:t>4</w:t>
      </w:r>
      <w:r w:rsidRPr="00C66951">
        <w:rPr>
          <w:rFonts w:ascii="Times New Roman" w:hAnsi="Times New Roman"/>
          <w:szCs w:val="24"/>
        </w:rPr>
        <w:t>=0</w:t>
      </w:r>
    </w:p>
    <w:p w:rsidR="00A94D68" w:rsidRPr="00C66951" w:rsidRDefault="00A94D68" w:rsidP="00A94D68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Находим </w:t>
      </w:r>
      <w:r w:rsidRPr="00FA4191">
        <w:rPr>
          <w:rFonts w:ascii="Times New Roman" w:hAnsi="Times New Roman"/>
          <w:b/>
          <w:bCs/>
          <w:sz w:val="28"/>
          <w:szCs w:val="28"/>
        </w:rPr>
        <w:t>IRR</w:t>
      </w:r>
      <w:r>
        <w:rPr>
          <w:rFonts w:ascii="Times New Roman" w:hAnsi="Times New Roman"/>
          <w:b/>
          <w:bCs/>
          <w:sz w:val="28"/>
          <w:szCs w:val="28"/>
        </w:rPr>
        <w:t xml:space="preserve">=0,3685 </w:t>
      </w:r>
      <w:r w:rsidRPr="00C66951">
        <w:rPr>
          <w:rFonts w:ascii="Times New Roman" w:hAnsi="Times New Roman"/>
          <w:bCs/>
          <w:sz w:val="28"/>
          <w:szCs w:val="28"/>
        </w:rPr>
        <w:t>или</w:t>
      </w:r>
      <w:r>
        <w:rPr>
          <w:rFonts w:ascii="Times New Roman" w:hAnsi="Times New Roman"/>
          <w:b/>
          <w:bCs/>
          <w:sz w:val="28"/>
          <w:szCs w:val="28"/>
        </w:rPr>
        <w:t xml:space="preserve"> 36,85 %</w:t>
      </w:r>
    </w:p>
    <w:p w:rsidR="00A94D68" w:rsidRPr="00C4760F" w:rsidRDefault="00A94D68" w:rsidP="00A94D68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 р</w:t>
      </w:r>
      <w:r w:rsidRPr="00C4760F">
        <w:rPr>
          <w:rFonts w:ascii="Times New Roman" w:hAnsi="Times New Roman"/>
          <w:sz w:val="28"/>
          <w:szCs w:val="28"/>
        </w:rPr>
        <w:t>ентабельност</w:t>
      </w:r>
      <w:r>
        <w:rPr>
          <w:rFonts w:ascii="Times New Roman" w:hAnsi="Times New Roman"/>
          <w:sz w:val="28"/>
          <w:szCs w:val="28"/>
        </w:rPr>
        <w:t>и</w:t>
      </w:r>
      <w:r w:rsidRPr="00C4760F">
        <w:rPr>
          <w:rFonts w:ascii="Times New Roman" w:hAnsi="Times New Roman"/>
          <w:sz w:val="28"/>
          <w:szCs w:val="28"/>
        </w:rPr>
        <w:t xml:space="preserve"> проекта при </w:t>
      </w:r>
      <w:r>
        <w:rPr>
          <w:rFonts w:ascii="Times New Roman" w:hAnsi="Times New Roman"/>
          <w:sz w:val="28"/>
          <w:szCs w:val="28"/>
        </w:rPr>
        <w:t>инвестировании</w:t>
      </w:r>
      <w:r w:rsidRPr="00C4760F">
        <w:rPr>
          <w:rFonts w:ascii="Times New Roman" w:hAnsi="Times New Roman"/>
          <w:sz w:val="28"/>
          <w:szCs w:val="28"/>
        </w:rPr>
        <w:t xml:space="preserve"> 48000</w:t>
      </w:r>
      <w:r>
        <w:rPr>
          <w:rFonts w:ascii="Times New Roman" w:hAnsi="Times New Roman"/>
          <w:sz w:val="28"/>
          <w:szCs w:val="28"/>
        </w:rPr>
        <w:t>0</w:t>
      </w:r>
      <w:r w:rsidR="009C116C">
        <w:rPr>
          <w:rFonts w:ascii="Times New Roman" w:hAnsi="Times New Roman"/>
          <w:sz w:val="28"/>
          <w:szCs w:val="28"/>
        </w:rPr>
        <w:t xml:space="preserve"> </w:t>
      </w:r>
      <w:r w:rsidRPr="00C4760F">
        <w:rPr>
          <w:rFonts w:ascii="Times New Roman" w:hAnsi="Times New Roman"/>
          <w:sz w:val="28"/>
          <w:szCs w:val="28"/>
        </w:rPr>
        <w:t>руб.:</w:t>
      </w:r>
    </w:p>
    <w:p w:rsidR="00A94D68" w:rsidRPr="00C66951" w:rsidRDefault="00A94D68" w:rsidP="00A94D68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4191">
        <w:rPr>
          <w:rFonts w:ascii="Times New Roman" w:hAnsi="Times New Roman"/>
          <w:b/>
          <w:sz w:val="28"/>
          <w:szCs w:val="28"/>
        </w:rPr>
        <w:lastRenderedPageBreak/>
        <w:t xml:space="preserve">IR </w:t>
      </w:r>
      <w:r>
        <w:rPr>
          <w:rFonts w:ascii="Times New Roman" w:hAnsi="Times New Roman"/>
          <w:b/>
          <w:sz w:val="28"/>
          <w:szCs w:val="28"/>
        </w:rPr>
        <w:t>=NPV/IC</w:t>
      </w:r>
      <w:r w:rsidRPr="00FA4191">
        <w:rPr>
          <w:rFonts w:ascii="Times New Roman" w:hAnsi="Times New Roman"/>
          <w:b/>
          <w:sz w:val="28"/>
          <w:szCs w:val="28"/>
        </w:rPr>
        <w:t xml:space="preserve">= </w:t>
      </w:r>
      <w:r>
        <w:rPr>
          <w:rFonts w:ascii="Times New Roman" w:hAnsi="Times New Roman"/>
          <w:b/>
          <w:sz w:val="28"/>
          <w:szCs w:val="28"/>
        </w:rPr>
        <w:t>676630</w:t>
      </w:r>
      <w:r w:rsidR="009C116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руб.</w:t>
      </w:r>
      <w:r w:rsidRPr="00FA4191">
        <w:rPr>
          <w:rFonts w:ascii="Times New Roman" w:hAnsi="Times New Roman"/>
          <w:b/>
          <w:sz w:val="28"/>
          <w:szCs w:val="28"/>
        </w:rPr>
        <w:t>: 48000</w:t>
      </w:r>
      <w:r>
        <w:rPr>
          <w:rFonts w:ascii="Times New Roman" w:hAnsi="Times New Roman"/>
          <w:b/>
          <w:sz w:val="28"/>
          <w:szCs w:val="28"/>
        </w:rPr>
        <w:t>0</w:t>
      </w:r>
      <w:r w:rsidR="009C116C">
        <w:rPr>
          <w:rFonts w:ascii="Times New Roman" w:hAnsi="Times New Roman"/>
          <w:b/>
          <w:sz w:val="28"/>
          <w:szCs w:val="28"/>
        </w:rPr>
        <w:t xml:space="preserve"> </w:t>
      </w:r>
      <w:r w:rsidRPr="00FA4191">
        <w:rPr>
          <w:rFonts w:ascii="Times New Roman" w:hAnsi="Times New Roman"/>
          <w:b/>
          <w:sz w:val="28"/>
          <w:szCs w:val="28"/>
        </w:rPr>
        <w:t>руб.=</w:t>
      </w:r>
      <w:r>
        <w:rPr>
          <w:rFonts w:ascii="Times New Roman" w:hAnsi="Times New Roman"/>
          <w:b/>
          <w:sz w:val="28"/>
          <w:szCs w:val="28"/>
        </w:rPr>
        <w:t>1,41&gt;1</w:t>
      </w:r>
    </w:p>
    <w:p w:rsidR="00A94D68" w:rsidRPr="00C4760F" w:rsidRDefault="00A94D68" w:rsidP="00A94D68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Значит, отдача инвестиций равна 1,41-1=0,41, а срок окупаемости</w:t>
      </w:r>
      <w:r w:rsidRPr="00C4760F">
        <w:rPr>
          <w:rFonts w:ascii="Times New Roman" w:hAnsi="Times New Roman"/>
          <w:sz w:val="28"/>
          <w:szCs w:val="28"/>
        </w:rPr>
        <w:t>:</w:t>
      </w:r>
    </w:p>
    <w:p w:rsidR="00A94D68" w:rsidRPr="00C4760F" w:rsidRDefault="00A94D68" w:rsidP="00A94D68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760F">
        <w:rPr>
          <w:rFonts w:ascii="Times New Roman" w:hAnsi="Times New Roman"/>
          <w:b/>
          <w:sz w:val="28"/>
          <w:szCs w:val="28"/>
        </w:rPr>
        <w:t>Т=1/0,</w:t>
      </w:r>
      <w:r>
        <w:rPr>
          <w:rFonts w:ascii="Times New Roman" w:hAnsi="Times New Roman"/>
          <w:b/>
          <w:sz w:val="28"/>
          <w:szCs w:val="28"/>
        </w:rPr>
        <w:t>41</w:t>
      </w:r>
      <w:r w:rsidRPr="00C4760F">
        <w:rPr>
          <w:rFonts w:ascii="Times New Roman" w:hAnsi="Times New Roman"/>
          <w:b/>
          <w:sz w:val="28"/>
          <w:szCs w:val="28"/>
        </w:rPr>
        <w:t xml:space="preserve"> = </w:t>
      </w:r>
      <w:r>
        <w:rPr>
          <w:rFonts w:ascii="Times New Roman" w:hAnsi="Times New Roman"/>
          <w:b/>
          <w:sz w:val="28"/>
          <w:szCs w:val="28"/>
        </w:rPr>
        <w:t xml:space="preserve">2,44 года </w:t>
      </w:r>
      <w:r w:rsidRPr="00640E9A">
        <w:rPr>
          <w:rFonts w:ascii="Times New Roman" w:hAnsi="Times New Roman"/>
          <w:sz w:val="28"/>
          <w:szCs w:val="28"/>
        </w:rPr>
        <w:t>(или 3,44 года после строительства)</w:t>
      </w:r>
    </w:p>
    <w:p w:rsidR="00A94D68" w:rsidRPr="00C4760F" w:rsidRDefault="00A94D68" w:rsidP="00A94D68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>Коммерческая эффективность проекта характеризуется следующими показателями:</w:t>
      </w:r>
    </w:p>
    <w:p w:rsidR="00A94D68" w:rsidRPr="00C4760F" w:rsidRDefault="00A94D68" w:rsidP="00A94D68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4D68" w:rsidRPr="00C4760F" w:rsidRDefault="00A94D68" w:rsidP="00A94D68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 xml:space="preserve">7 - </w:t>
      </w:r>
      <w:r w:rsidRPr="00C4760F">
        <w:rPr>
          <w:rFonts w:ascii="Times New Roman" w:hAnsi="Times New Roman"/>
          <w:sz w:val="28"/>
          <w:szCs w:val="28"/>
        </w:rPr>
        <w:t xml:space="preserve">Итоговые показатели проекта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6"/>
        <w:gridCol w:w="2923"/>
      </w:tblGrid>
      <w:tr w:rsidR="00A94D68" w:rsidRPr="00C4760F" w:rsidTr="0066520D">
        <w:trPr>
          <w:trHeight w:val="562"/>
          <w:jc w:val="center"/>
        </w:trPr>
        <w:tc>
          <w:tcPr>
            <w:tcW w:w="5726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C4760F">
              <w:rPr>
                <w:rFonts w:ascii="Times New Roman" w:hAnsi="Times New Roman"/>
                <w:szCs w:val="24"/>
              </w:rPr>
              <w:t>Наименование показателей</w:t>
            </w:r>
          </w:p>
        </w:tc>
        <w:tc>
          <w:tcPr>
            <w:tcW w:w="2923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C4760F">
              <w:rPr>
                <w:rFonts w:ascii="Times New Roman" w:hAnsi="Times New Roman"/>
                <w:szCs w:val="24"/>
              </w:rPr>
              <w:t>Значение</w:t>
            </w:r>
          </w:p>
        </w:tc>
      </w:tr>
      <w:tr w:rsidR="00A94D68" w:rsidRPr="00C4760F" w:rsidTr="0066520D">
        <w:trPr>
          <w:trHeight w:val="365"/>
          <w:jc w:val="center"/>
        </w:trPr>
        <w:tc>
          <w:tcPr>
            <w:tcW w:w="5726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C4760F">
              <w:rPr>
                <w:rFonts w:ascii="Times New Roman" w:hAnsi="Times New Roman"/>
                <w:szCs w:val="24"/>
              </w:rPr>
              <w:t>Срок окупаемости с начала реализации проекта.</w:t>
            </w:r>
          </w:p>
        </w:tc>
        <w:tc>
          <w:tcPr>
            <w:tcW w:w="2923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3,44</w:t>
            </w:r>
          </w:p>
        </w:tc>
      </w:tr>
      <w:tr w:rsidR="00A94D68" w:rsidRPr="00C4760F" w:rsidTr="0066520D">
        <w:trPr>
          <w:trHeight w:val="365"/>
          <w:jc w:val="center"/>
        </w:trPr>
        <w:tc>
          <w:tcPr>
            <w:tcW w:w="5726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C4760F">
              <w:rPr>
                <w:rFonts w:ascii="Times New Roman" w:hAnsi="Times New Roman"/>
                <w:szCs w:val="24"/>
              </w:rPr>
              <w:t>Срок окупаемости с начала работы,</w:t>
            </w:r>
          </w:p>
        </w:tc>
        <w:tc>
          <w:tcPr>
            <w:tcW w:w="2923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2,44</w:t>
            </w:r>
          </w:p>
        </w:tc>
      </w:tr>
      <w:tr w:rsidR="00A94D68" w:rsidRPr="00C4760F" w:rsidTr="0066520D">
        <w:trPr>
          <w:trHeight w:val="360"/>
          <w:jc w:val="center"/>
        </w:trPr>
        <w:tc>
          <w:tcPr>
            <w:tcW w:w="5726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C4760F">
              <w:rPr>
                <w:rFonts w:ascii="Times New Roman" w:hAnsi="Times New Roman"/>
                <w:szCs w:val="24"/>
              </w:rPr>
              <w:t>Чистая текущая стоимость,</w:t>
            </w:r>
            <w:r w:rsidR="009C116C">
              <w:rPr>
                <w:rFonts w:ascii="Times New Roman" w:hAnsi="Times New Roman"/>
                <w:szCs w:val="24"/>
              </w:rPr>
              <w:t xml:space="preserve"> </w:t>
            </w:r>
            <w:r w:rsidRPr="00C4760F">
              <w:rPr>
                <w:rFonts w:ascii="Times New Roman" w:hAnsi="Times New Roman"/>
                <w:szCs w:val="24"/>
              </w:rPr>
              <w:t>руб.</w:t>
            </w:r>
          </w:p>
        </w:tc>
        <w:tc>
          <w:tcPr>
            <w:tcW w:w="2923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676630</w:t>
            </w:r>
          </w:p>
        </w:tc>
      </w:tr>
      <w:tr w:rsidR="00A94D68" w:rsidRPr="00C4760F" w:rsidTr="0066520D">
        <w:trPr>
          <w:trHeight w:val="374"/>
          <w:jc w:val="center"/>
        </w:trPr>
        <w:tc>
          <w:tcPr>
            <w:tcW w:w="5726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C4760F">
              <w:rPr>
                <w:rFonts w:ascii="Times New Roman" w:hAnsi="Times New Roman"/>
                <w:szCs w:val="24"/>
              </w:rPr>
              <w:t>Внутренняя норма доходности, %</w:t>
            </w:r>
          </w:p>
        </w:tc>
        <w:tc>
          <w:tcPr>
            <w:tcW w:w="2923" w:type="dxa"/>
          </w:tcPr>
          <w:p w:rsidR="00A94D68" w:rsidRPr="00C4760F" w:rsidRDefault="00A94D68" w:rsidP="0066520D">
            <w:pPr>
              <w:pStyle w:val="a5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36,85 </w:t>
            </w:r>
            <w:r w:rsidRPr="00C4760F">
              <w:rPr>
                <w:rFonts w:ascii="Times New Roman" w:hAnsi="Times New Roman"/>
                <w:szCs w:val="24"/>
              </w:rPr>
              <w:t>%</w:t>
            </w:r>
          </w:p>
        </w:tc>
      </w:tr>
    </w:tbl>
    <w:p w:rsidR="00A94D68" w:rsidRDefault="00A94D68" w:rsidP="00A94D68">
      <w:pPr>
        <w:pStyle w:val="a5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94D68" w:rsidRPr="00982547" w:rsidRDefault="00A94D68" w:rsidP="00A94D68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2547">
        <w:rPr>
          <w:rFonts w:ascii="Times New Roman" w:hAnsi="Times New Roman"/>
          <w:sz w:val="28"/>
          <w:szCs w:val="28"/>
        </w:rPr>
        <w:t xml:space="preserve">Таким образом, проект окупается через </w:t>
      </w:r>
      <w:r>
        <w:rPr>
          <w:rFonts w:ascii="Times New Roman" w:hAnsi="Times New Roman"/>
          <w:sz w:val="28"/>
          <w:szCs w:val="28"/>
        </w:rPr>
        <w:t>3,44</w:t>
      </w:r>
      <w:r w:rsidRPr="009825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r w:rsidRPr="00982547">
        <w:rPr>
          <w:rFonts w:ascii="Times New Roman" w:hAnsi="Times New Roman"/>
          <w:sz w:val="28"/>
          <w:szCs w:val="28"/>
        </w:rPr>
        <w:t xml:space="preserve"> после начала функционирования.</w:t>
      </w:r>
    </w:p>
    <w:p w:rsidR="000B697A" w:rsidRPr="00CE60D6" w:rsidRDefault="000B697A" w:rsidP="00CE60D6">
      <w:pPr>
        <w:spacing w:line="360" w:lineRule="auto"/>
        <w:jc w:val="center"/>
        <w:rPr>
          <w:rFonts w:ascii="Times New Roman" w:hAnsi="Times New Roman" w:cs="Times New Roman"/>
        </w:rPr>
      </w:pPr>
    </w:p>
    <w:p w:rsidR="00D73F17" w:rsidRDefault="00D73F17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56594" w:rsidRPr="00CE60D6" w:rsidRDefault="00DE05BB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501540439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9. Заключение</w:t>
      </w:r>
      <w:bookmarkEnd w:id="31"/>
    </w:p>
    <w:p w:rsidR="000B697A" w:rsidRPr="00CE60D6" w:rsidRDefault="000B697A" w:rsidP="00CE60D6">
      <w:pPr>
        <w:spacing w:line="360" w:lineRule="auto"/>
        <w:jc w:val="center"/>
        <w:rPr>
          <w:rFonts w:ascii="Times New Roman" w:hAnsi="Times New Roman" w:cs="Times New Roman"/>
        </w:rPr>
      </w:pPr>
    </w:p>
    <w:p w:rsidR="000E5BC9" w:rsidRDefault="000E5BC9" w:rsidP="000E5BC9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выводы:</w:t>
      </w:r>
    </w:p>
    <w:p w:rsidR="000E5BC9" w:rsidRDefault="000E5BC9" w:rsidP="000E5BC9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управления после реконструкции - школа с </w:t>
      </w:r>
      <w:r w:rsidRPr="001F3794">
        <w:rPr>
          <w:rFonts w:ascii="Times New Roman" w:hAnsi="Times New Roman" w:cs="Times New Roman"/>
          <w:sz w:val="28"/>
          <w:szCs w:val="28"/>
        </w:rPr>
        <w:t>дополнительными спортивными</w:t>
      </w:r>
      <w:r w:rsidR="009C116C">
        <w:rPr>
          <w:rFonts w:ascii="Times New Roman" w:hAnsi="Times New Roman" w:cs="Times New Roman"/>
          <w:sz w:val="28"/>
          <w:szCs w:val="28"/>
        </w:rPr>
        <w:t xml:space="preserve"> </w:t>
      </w:r>
      <w:r w:rsidRPr="001F3794">
        <w:rPr>
          <w:rFonts w:ascii="Times New Roman" w:hAnsi="Times New Roman" w:cs="Times New Roman"/>
          <w:sz w:val="28"/>
          <w:szCs w:val="28"/>
        </w:rPr>
        <w:t xml:space="preserve">секциями. Необходимость </w:t>
      </w:r>
      <w:r>
        <w:rPr>
          <w:rFonts w:ascii="Times New Roman" w:hAnsi="Times New Roman" w:cs="Times New Roman"/>
          <w:sz w:val="28"/>
          <w:szCs w:val="28"/>
        </w:rPr>
        <w:t>реконструкции</w:t>
      </w:r>
      <w:r w:rsidRPr="001F3794">
        <w:rPr>
          <w:rFonts w:ascii="Times New Roman" w:hAnsi="Times New Roman" w:cs="Times New Roman"/>
          <w:sz w:val="28"/>
          <w:szCs w:val="28"/>
        </w:rPr>
        <w:t xml:space="preserve"> школы обусловлена тем, что в районе проживают различные семьи с неодинаковым уровнем дохода. Новая школа будет позиционироваться как школа доступная различным категориям граждан. </w:t>
      </w:r>
    </w:p>
    <w:p w:rsidR="000E5BC9" w:rsidRDefault="000E5BC9" w:rsidP="000E5BC9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Проведение ремонтных работ позволяет снизить физический износ объекта, улучшить его внешний вид, тем самым, повысить его рыночную привлекательность. В целом по зданию не требуется модернизация или замена мощности какой-либо системы здания.</w:t>
      </w:r>
      <w:r w:rsidR="009C116C">
        <w:rPr>
          <w:rFonts w:ascii="Times New Roman" w:hAnsi="Times New Roman" w:cs="Times New Roman"/>
          <w:sz w:val="28"/>
          <w:szCs w:val="28"/>
        </w:rPr>
        <w:t xml:space="preserve"> </w:t>
      </w:r>
      <w:r w:rsidRPr="00AE7022">
        <w:rPr>
          <w:rFonts w:ascii="Times New Roman" w:hAnsi="Times New Roman" w:cs="Times New Roman"/>
          <w:sz w:val="28"/>
          <w:szCs w:val="28"/>
        </w:rPr>
        <w:t>После проведения ремонта все системы будут отвечать потребностям собственника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5BC9" w:rsidRPr="00AE7022" w:rsidRDefault="000E5BC9" w:rsidP="000E5BC9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022">
        <w:rPr>
          <w:rFonts w:ascii="Times New Roman" w:hAnsi="Times New Roman" w:cs="Times New Roman"/>
          <w:sz w:val="28"/>
          <w:szCs w:val="28"/>
        </w:rPr>
        <w:t>Для проведения ремонтных работ было принято решение обратиться в специализированную компанию.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022">
        <w:rPr>
          <w:rFonts w:ascii="Times New Roman" w:hAnsi="Times New Roman" w:cs="Times New Roman"/>
          <w:sz w:val="28"/>
          <w:szCs w:val="28"/>
        </w:rPr>
        <w:t>Сумма для проведения небольшого косметического ремонта здания, которое в дальнейшем планируется для самостоятельного использования, составила 662 390 руб.</w:t>
      </w:r>
    </w:p>
    <w:p w:rsidR="000E5BC9" w:rsidRDefault="000E5BC9" w:rsidP="000E5BC9">
      <w:pPr>
        <w:pStyle w:val="a5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82547">
        <w:rPr>
          <w:rFonts w:ascii="Times New Roman" w:hAnsi="Times New Roman"/>
          <w:sz w:val="28"/>
          <w:szCs w:val="28"/>
        </w:rPr>
        <w:t xml:space="preserve">роект окупается через </w:t>
      </w:r>
      <w:r>
        <w:rPr>
          <w:rFonts w:ascii="Times New Roman" w:hAnsi="Times New Roman"/>
          <w:sz w:val="28"/>
          <w:szCs w:val="28"/>
        </w:rPr>
        <w:t>3,44</w:t>
      </w:r>
      <w:r w:rsidRPr="009825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r w:rsidRPr="00982547">
        <w:rPr>
          <w:rFonts w:ascii="Times New Roman" w:hAnsi="Times New Roman"/>
          <w:sz w:val="28"/>
          <w:szCs w:val="28"/>
        </w:rPr>
        <w:t xml:space="preserve"> после начала функционирования.</w:t>
      </w:r>
    </w:p>
    <w:p w:rsidR="000E5BC9" w:rsidRPr="00C4760F" w:rsidRDefault="000E5BC9" w:rsidP="000E5BC9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>Проект учитывает интересы не только непосредственных участников проекта, но также местных властей и общественности за счет следующих выгод:</w:t>
      </w:r>
    </w:p>
    <w:p w:rsidR="000E5BC9" w:rsidRPr="00C4760F" w:rsidRDefault="000E5BC9" w:rsidP="000E5BC9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 xml:space="preserve">выгоды для бюджета и социально-экономического развития: увеличение объема поступлений в бюджеты всех уровней и внебюджетные фонды. </w:t>
      </w:r>
    </w:p>
    <w:p w:rsidR="000E5BC9" w:rsidRPr="00C4760F" w:rsidRDefault="000E5BC9" w:rsidP="000E5BC9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4760F">
        <w:rPr>
          <w:rFonts w:ascii="Times New Roman" w:hAnsi="Times New Roman"/>
          <w:sz w:val="28"/>
          <w:szCs w:val="28"/>
        </w:rPr>
        <w:t>выгоды населения: увеличения объема услуг и развитие инфраструктуры; создание дополнительных</w:t>
      </w:r>
      <w:r w:rsidR="009C116C">
        <w:rPr>
          <w:rFonts w:ascii="Times New Roman" w:hAnsi="Times New Roman"/>
          <w:sz w:val="28"/>
          <w:szCs w:val="28"/>
        </w:rPr>
        <w:t xml:space="preserve"> </w:t>
      </w:r>
      <w:r w:rsidRPr="00C4760F">
        <w:rPr>
          <w:rFonts w:ascii="Times New Roman" w:hAnsi="Times New Roman"/>
          <w:sz w:val="28"/>
          <w:szCs w:val="28"/>
        </w:rPr>
        <w:t>рабочих мест.</w:t>
      </w:r>
    </w:p>
    <w:p w:rsidR="00D73F17" w:rsidRDefault="00D73F17">
      <w:pPr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0E5BC9" w:rsidRDefault="000E5BC9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E05BB" w:rsidRPr="00CE60D6" w:rsidRDefault="00DE05BB" w:rsidP="00CE60D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501540440"/>
      <w:r w:rsidRPr="00CE60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Литература</w:t>
      </w:r>
      <w:bookmarkEnd w:id="32"/>
    </w:p>
    <w:p w:rsidR="000B697A" w:rsidRPr="00CE60D6" w:rsidRDefault="000B697A" w:rsidP="00CE60D6">
      <w:pPr>
        <w:spacing w:line="360" w:lineRule="auto"/>
        <w:jc w:val="center"/>
        <w:rPr>
          <w:rFonts w:ascii="Times New Roman" w:hAnsi="Times New Roman" w:cs="Times New Roman"/>
        </w:rPr>
      </w:pPr>
    </w:p>
    <w:p w:rsidR="005D66A2" w:rsidRPr="005D66A2" w:rsidRDefault="005D66A2" w:rsidP="005D66A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6A2">
        <w:rPr>
          <w:rFonts w:ascii="Times New Roman" w:hAnsi="Times New Roman" w:cs="Times New Roman"/>
          <w:sz w:val="28"/>
          <w:szCs w:val="28"/>
        </w:rPr>
        <w:t>Иваницкая И.П., Яковлев Е.А. Введение в экономику недвижимости. М.: КноРус, 2011. – 184 с.</w:t>
      </w:r>
    </w:p>
    <w:p w:rsidR="005D66A2" w:rsidRPr="005D66A2" w:rsidRDefault="005D66A2" w:rsidP="005D66A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6A2">
        <w:rPr>
          <w:rFonts w:ascii="Times New Roman" w:hAnsi="Times New Roman" w:cs="Times New Roman"/>
          <w:sz w:val="28"/>
          <w:szCs w:val="28"/>
        </w:rPr>
        <w:t>Кожухар В.М. Экспертиза и управление недвижимостью. М. Дашков и К</w:t>
      </w:r>
      <w:r w:rsidRPr="005D66A2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5D66A2">
        <w:rPr>
          <w:rFonts w:ascii="Times New Roman" w:hAnsi="Times New Roman" w:cs="Times New Roman"/>
          <w:sz w:val="28"/>
          <w:szCs w:val="28"/>
        </w:rPr>
        <w:t>, 2012. – 96 с.</w:t>
      </w:r>
    </w:p>
    <w:p w:rsidR="005D66A2" w:rsidRPr="005D66A2" w:rsidRDefault="005D66A2" w:rsidP="005D66A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6A2">
        <w:rPr>
          <w:rFonts w:ascii="Times New Roman" w:hAnsi="Times New Roman" w:cs="Times New Roman"/>
          <w:sz w:val="28"/>
          <w:szCs w:val="28"/>
        </w:rPr>
        <w:t>Тарасевич Е.И. Экономика недвижимости. М.: МКС, 2010. – 584 с.</w:t>
      </w:r>
    </w:p>
    <w:p w:rsidR="005D66A2" w:rsidRPr="005D66A2" w:rsidRDefault="005D66A2" w:rsidP="005D66A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6A2">
        <w:rPr>
          <w:rFonts w:ascii="Times New Roman" w:hAnsi="Times New Roman" w:cs="Times New Roman"/>
          <w:sz w:val="28"/>
          <w:szCs w:val="28"/>
        </w:rPr>
        <w:t>Цогоев А. Как инвестировать в недвижимость. М.: Альпина бизнес букс, 2009. – 174 с.</w:t>
      </w:r>
    </w:p>
    <w:p w:rsidR="00DE05BB" w:rsidRPr="00CE60D6" w:rsidRDefault="00DE05BB" w:rsidP="00CE60D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E05BB" w:rsidRPr="00CE60D6" w:rsidSect="00D73F17">
      <w:footerReference w:type="default" r:id="rId1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396" w:rsidRDefault="00625396" w:rsidP="00D73F17">
      <w:pPr>
        <w:spacing w:after="0" w:line="240" w:lineRule="auto"/>
      </w:pPr>
      <w:r>
        <w:separator/>
      </w:r>
    </w:p>
  </w:endnote>
  <w:endnote w:type="continuationSeparator" w:id="0">
    <w:p w:rsidR="00625396" w:rsidRDefault="00625396" w:rsidP="00D7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0678792"/>
      <w:docPartObj>
        <w:docPartGallery w:val="Page Numbers (Bottom of Page)"/>
        <w:docPartUnique/>
      </w:docPartObj>
    </w:sdtPr>
    <w:sdtEndPr/>
    <w:sdtContent>
      <w:p w:rsidR="00EC20D8" w:rsidRDefault="00EC20D8" w:rsidP="00D73F1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C7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396" w:rsidRDefault="00625396" w:rsidP="00D73F17">
      <w:pPr>
        <w:spacing w:after="0" w:line="240" w:lineRule="auto"/>
      </w:pPr>
      <w:r>
        <w:separator/>
      </w:r>
    </w:p>
  </w:footnote>
  <w:footnote w:type="continuationSeparator" w:id="0">
    <w:p w:rsidR="00625396" w:rsidRDefault="00625396" w:rsidP="00D73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1461B"/>
    <w:multiLevelType w:val="hybridMultilevel"/>
    <w:tmpl w:val="B3262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379"/>
    <w:multiLevelType w:val="hybridMultilevel"/>
    <w:tmpl w:val="989E6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87E85"/>
    <w:multiLevelType w:val="hybridMultilevel"/>
    <w:tmpl w:val="331AD3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7315A94"/>
    <w:multiLevelType w:val="hybridMultilevel"/>
    <w:tmpl w:val="486CB072"/>
    <w:lvl w:ilvl="0" w:tplc="F4A857BC">
      <w:start w:val="1"/>
      <w:numFmt w:val="bullet"/>
      <w:lvlText w:val="-"/>
      <w:lvlJc w:val="left"/>
      <w:pPr>
        <w:tabs>
          <w:tab w:val="num" w:pos="3462"/>
        </w:tabs>
        <w:ind w:left="3462" w:hanging="360"/>
      </w:pPr>
      <w:rPr>
        <w:rFonts w:ascii="Sylfaen" w:hAnsi="Sylfaen" w:hint="default"/>
      </w:rPr>
    </w:lvl>
    <w:lvl w:ilvl="1" w:tplc="F4A85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7D6102A"/>
    <w:multiLevelType w:val="hybridMultilevel"/>
    <w:tmpl w:val="78946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8A36B3"/>
    <w:multiLevelType w:val="hybridMultilevel"/>
    <w:tmpl w:val="815A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0B7"/>
    <w:multiLevelType w:val="hybridMultilevel"/>
    <w:tmpl w:val="56B27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70E87"/>
    <w:multiLevelType w:val="hybridMultilevel"/>
    <w:tmpl w:val="ECF4F954"/>
    <w:lvl w:ilvl="0" w:tplc="F7ECBF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51818"/>
    <w:multiLevelType w:val="hybridMultilevel"/>
    <w:tmpl w:val="19C2846C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4A85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2641B55"/>
    <w:multiLevelType w:val="hybridMultilevel"/>
    <w:tmpl w:val="9A3441EC"/>
    <w:lvl w:ilvl="0" w:tplc="F7ECBF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C7320"/>
    <w:multiLevelType w:val="hybridMultilevel"/>
    <w:tmpl w:val="BC627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50D6EFB"/>
    <w:multiLevelType w:val="hybridMultilevel"/>
    <w:tmpl w:val="E4681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14C10"/>
    <w:multiLevelType w:val="hybridMultilevel"/>
    <w:tmpl w:val="72FA5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63069"/>
    <w:multiLevelType w:val="hybridMultilevel"/>
    <w:tmpl w:val="E4E6F1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D30861"/>
    <w:multiLevelType w:val="hybridMultilevel"/>
    <w:tmpl w:val="21B6C5CE"/>
    <w:lvl w:ilvl="0" w:tplc="F4A857BC">
      <w:start w:val="1"/>
      <w:numFmt w:val="bullet"/>
      <w:lvlText w:val="-"/>
      <w:lvlJc w:val="left"/>
      <w:pPr>
        <w:tabs>
          <w:tab w:val="num" w:pos="3462"/>
        </w:tabs>
        <w:ind w:left="3462" w:hanging="360"/>
      </w:pPr>
      <w:rPr>
        <w:rFonts w:ascii="Sylfaen" w:hAnsi="Sylfae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71E063F4"/>
    <w:multiLevelType w:val="hybridMultilevel"/>
    <w:tmpl w:val="A38EEB12"/>
    <w:lvl w:ilvl="0" w:tplc="F4A857BC">
      <w:start w:val="1"/>
      <w:numFmt w:val="bullet"/>
      <w:lvlText w:val="-"/>
      <w:lvlJc w:val="left"/>
      <w:pPr>
        <w:tabs>
          <w:tab w:val="num" w:pos="2562"/>
        </w:tabs>
        <w:ind w:left="2562" w:hanging="360"/>
      </w:pPr>
      <w:rPr>
        <w:rFonts w:ascii="Sylfaen" w:hAnsi="Sylfaen" w:hint="default"/>
      </w:rPr>
    </w:lvl>
    <w:lvl w:ilvl="1" w:tplc="F4A85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F12067"/>
    <w:multiLevelType w:val="hybridMultilevel"/>
    <w:tmpl w:val="AB44C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5"/>
  </w:num>
  <w:num w:numId="5">
    <w:abstractNumId w:val="8"/>
  </w:num>
  <w:num w:numId="6">
    <w:abstractNumId w:val="3"/>
  </w:num>
  <w:num w:numId="7">
    <w:abstractNumId w:val="14"/>
  </w:num>
  <w:num w:numId="8">
    <w:abstractNumId w:val="13"/>
  </w:num>
  <w:num w:numId="9">
    <w:abstractNumId w:val="4"/>
  </w:num>
  <w:num w:numId="10">
    <w:abstractNumId w:val="12"/>
  </w:num>
  <w:num w:numId="11">
    <w:abstractNumId w:val="11"/>
  </w:num>
  <w:num w:numId="12">
    <w:abstractNumId w:val="5"/>
  </w:num>
  <w:num w:numId="13">
    <w:abstractNumId w:val="6"/>
  </w:num>
  <w:num w:numId="14">
    <w:abstractNumId w:val="2"/>
  </w:num>
  <w:num w:numId="15">
    <w:abstractNumId w:val="10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5BB"/>
    <w:rsid w:val="000B697A"/>
    <w:rsid w:val="000E5BC9"/>
    <w:rsid w:val="00156594"/>
    <w:rsid w:val="00166831"/>
    <w:rsid w:val="001F3794"/>
    <w:rsid w:val="00223109"/>
    <w:rsid w:val="005D66A2"/>
    <w:rsid w:val="00602C71"/>
    <w:rsid w:val="00625396"/>
    <w:rsid w:val="00631D4C"/>
    <w:rsid w:val="00751C45"/>
    <w:rsid w:val="009C116C"/>
    <w:rsid w:val="00A94D68"/>
    <w:rsid w:val="00BB488E"/>
    <w:rsid w:val="00CE60D6"/>
    <w:rsid w:val="00D6655B"/>
    <w:rsid w:val="00D73F17"/>
    <w:rsid w:val="00D8733A"/>
    <w:rsid w:val="00DE05BB"/>
    <w:rsid w:val="00EC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004EB1-2DD8-422B-A4A7-3E6F2DE7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37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69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223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3109"/>
    <w:pPr>
      <w:spacing w:after="200" w:line="276" w:lineRule="auto"/>
      <w:ind w:left="720"/>
      <w:contextualSpacing/>
    </w:pPr>
  </w:style>
  <w:style w:type="paragraph" w:styleId="a5">
    <w:name w:val="No Spacing"/>
    <w:uiPriority w:val="1"/>
    <w:qFormat/>
    <w:rsid w:val="00223109"/>
    <w:pPr>
      <w:spacing w:after="0" w:line="240" w:lineRule="auto"/>
    </w:pPr>
  </w:style>
  <w:style w:type="paragraph" w:styleId="a6">
    <w:name w:val="Title"/>
    <w:basedOn w:val="a"/>
    <w:link w:val="a7"/>
    <w:uiPriority w:val="99"/>
    <w:qFormat/>
    <w:rsid w:val="0022310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22310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F37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8">
    <w:name w:val="Table Grid"/>
    <w:basedOn w:val="a1"/>
    <w:uiPriority w:val="59"/>
    <w:rsid w:val="001F3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73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3F17"/>
  </w:style>
  <w:style w:type="paragraph" w:styleId="ab">
    <w:name w:val="footer"/>
    <w:basedOn w:val="a"/>
    <w:link w:val="ac"/>
    <w:uiPriority w:val="99"/>
    <w:unhideWhenUsed/>
    <w:rsid w:val="00D73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3F17"/>
  </w:style>
  <w:style w:type="paragraph" w:styleId="11">
    <w:name w:val="toc 1"/>
    <w:basedOn w:val="a"/>
    <w:next w:val="a"/>
    <w:autoRedefine/>
    <w:uiPriority w:val="39"/>
    <w:unhideWhenUsed/>
    <w:rsid w:val="00D73F17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D73F17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D73F17"/>
    <w:rPr>
      <w:color w:val="0563C1" w:themeColor="hyperlink"/>
      <w:u w:val="single"/>
    </w:rPr>
  </w:style>
  <w:style w:type="paragraph" w:styleId="ae">
    <w:name w:val="footnote text"/>
    <w:basedOn w:val="a"/>
    <w:link w:val="af"/>
    <w:semiHidden/>
    <w:rsid w:val="005D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5D6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Заголовок №1"/>
    <w:basedOn w:val="a0"/>
    <w:rsid w:val="009C11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2105pt">
    <w:name w:val="Основной текст (2) + 10;5 pt;Полужирный"/>
    <w:basedOn w:val="a0"/>
    <w:rsid w:val="009C11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"/>
    <w:basedOn w:val="a0"/>
    <w:rsid w:val="009C11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f0">
    <w:name w:val="Колонтитул_"/>
    <w:basedOn w:val="a0"/>
    <w:rsid w:val="009C11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f1">
    <w:name w:val="Колонтитул"/>
    <w:basedOn w:val="af0"/>
    <w:rsid w:val="009C11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0pt">
    <w:name w:val="Колонтитул + Не курсив;Интервал 0 pt"/>
    <w:basedOn w:val="af0"/>
    <w:rsid w:val="009C11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9C11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0">
    <w:name w:val="Основной текст (4) + Не курсив"/>
    <w:basedOn w:val="a0"/>
    <w:rsid w:val="009C11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a0"/>
    <w:rsid w:val="009C11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master.ru/catalog/sm_aktivnyiy_otdyih/1937/157533/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ortmaster.ru/catalog/sm_trenajeryi/1923/159176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ortmaster.ru/catalog/sm_aktivnyiy_otdyih/1880/15721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portmaster.ru/catalog/sm_aktivnyiy_otdyih/1937/20650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master.ru/catalog/sm_aktivnyiy_otdyih/1945/157564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34200-215C-42F7-B3BA-7D4D0627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4562</Words>
  <Characters>26004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Владимирович Паничкин</dc:creator>
  <cp:keywords/>
  <dc:description/>
  <cp:lastModifiedBy>Денис Владимирович Паничкин</cp:lastModifiedBy>
  <cp:revision>2</cp:revision>
  <dcterms:created xsi:type="dcterms:W3CDTF">2017-12-20T10:40:00Z</dcterms:created>
  <dcterms:modified xsi:type="dcterms:W3CDTF">2017-12-20T10:40:00Z</dcterms:modified>
</cp:coreProperties>
</file>